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16EA" w:rsidRPr="00EC3FDF" w:rsidRDefault="005516EA" w:rsidP="005516EA">
      <w:pPr>
        <w:shd w:val="clear" w:color="auto" w:fill="FFFFFF"/>
        <w:spacing w:after="150"/>
        <w:jc w:val="center"/>
        <w:rPr>
          <w:rFonts w:eastAsia="Times New Roman" w:cstheme="minorHAnsi"/>
          <w:b/>
          <w:bCs/>
          <w:color w:val="19191A"/>
          <w:lang w:eastAsia="it-IT"/>
        </w:rPr>
      </w:pPr>
      <w:r w:rsidRPr="00EC3FDF">
        <w:rPr>
          <w:rFonts w:eastAsia="Times New Roman" w:cstheme="minorHAnsi"/>
          <w:b/>
          <w:bCs/>
          <w:color w:val="19191A"/>
          <w:lang w:eastAsia="it-IT"/>
        </w:rPr>
        <w:t xml:space="preserve">LEGGE 17 maggio </w:t>
      </w:r>
      <w:proofErr w:type="gramStart"/>
      <w:r w:rsidRPr="00EC3FDF">
        <w:rPr>
          <w:rFonts w:eastAsia="Times New Roman" w:cstheme="minorHAnsi"/>
          <w:b/>
          <w:bCs/>
          <w:color w:val="19191A"/>
          <w:lang w:eastAsia="it-IT"/>
        </w:rPr>
        <w:t>2024 ,</w:t>
      </w:r>
      <w:proofErr w:type="gramEnd"/>
      <w:r w:rsidRPr="00EC3FDF">
        <w:rPr>
          <w:rFonts w:eastAsia="Times New Roman" w:cstheme="minorHAnsi"/>
          <w:b/>
          <w:bCs/>
          <w:color w:val="19191A"/>
          <w:lang w:eastAsia="it-IT"/>
        </w:rPr>
        <w:t xml:space="preserve"> n. 70</w:t>
      </w:r>
    </w:p>
    <w:p w:rsidR="005516EA" w:rsidRPr="00EC3FDF" w:rsidRDefault="005516EA" w:rsidP="005516EA">
      <w:pPr>
        <w:shd w:val="clear" w:color="auto" w:fill="FFFFFF"/>
        <w:spacing w:after="150"/>
        <w:jc w:val="center"/>
        <w:rPr>
          <w:rFonts w:eastAsia="Times New Roman" w:cstheme="minorHAnsi"/>
          <w:color w:val="19191A"/>
          <w:lang w:eastAsia="it-IT"/>
        </w:rPr>
      </w:pPr>
      <w:r w:rsidRPr="00EC3FDF">
        <w:rPr>
          <w:rFonts w:eastAsia="Times New Roman" w:cstheme="minorHAnsi"/>
          <w:color w:val="19191A"/>
          <w:lang w:eastAsia="it-IT"/>
        </w:rPr>
        <w:t>Disposizioni e delega al Governo in materia di prevenzione e contrasto del bullismo e del cyberbullismo. (24G00086) </w:t>
      </w:r>
    </w:p>
    <w:p w:rsidR="005516EA" w:rsidRPr="00EC3FDF" w:rsidRDefault="00EC3FDF" w:rsidP="005516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center"/>
        <w:rPr>
          <w:rFonts w:eastAsia="Times New Roman" w:cstheme="minorHAnsi"/>
          <w:color w:val="990000"/>
          <w:lang w:eastAsia="it-IT"/>
        </w:rPr>
      </w:pPr>
      <w:r>
        <w:rPr>
          <w:rFonts w:eastAsia="Times New Roman" w:cstheme="minorHAnsi"/>
          <w:color w:val="990000"/>
          <w:lang w:eastAsia="it-IT"/>
        </w:rPr>
        <w:t>Entrata in vigore: 14.06.2024</w:t>
      </w:r>
    </w:p>
    <w:p w:rsidR="005516EA" w:rsidRPr="00EC3FDF" w:rsidRDefault="005516EA" w:rsidP="005516EA">
      <w:pPr>
        <w:shd w:val="clear" w:color="auto" w:fill="FFFFFF"/>
        <w:rPr>
          <w:rFonts w:eastAsia="Times New Roman" w:cstheme="minorHAnsi"/>
          <w:color w:val="19191A"/>
          <w:lang w:eastAsia="it-IT"/>
        </w:rPr>
      </w:pPr>
      <w:r w:rsidRPr="00EC3FDF">
        <w:rPr>
          <w:rFonts w:eastAsia="Times New Roman" w:cstheme="minorHAnsi"/>
          <w:color w:val="19191A"/>
          <w:lang w:eastAsia="it-IT"/>
        </w:rPr>
        <w:t>La Camera dei deputati ed il Senato della Repubblica hanno approvato;</w:t>
      </w:r>
    </w:p>
    <w:p w:rsidR="005516EA" w:rsidRPr="00EC3FDF" w:rsidRDefault="005516EA" w:rsidP="005516EA">
      <w:pPr>
        <w:shd w:val="clear" w:color="auto" w:fill="FFFFFF"/>
        <w:spacing w:after="120"/>
        <w:jc w:val="center"/>
        <w:outlineLvl w:val="1"/>
        <w:rPr>
          <w:rFonts w:eastAsia="Times New Roman" w:cstheme="minorHAnsi"/>
          <w:b/>
          <w:bCs/>
          <w:color w:val="19191A"/>
          <w:lang w:eastAsia="it-IT"/>
        </w:rPr>
      </w:pPr>
      <w:r w:rsidRPr="00EC3FDF">
        <w:rPr>
          <w:rFonts w:eastAsia="Times New Roman" w:cstheme="minorHAnsi"/>
          <w:b/>
          <w:bCs/>
          <w:color w:val="19191A"/>
          <w:lang w:eastAsia="it-IT"/>
        </w:rPr>
        <w:t>IL PRESIDENTE DELLA REPUBBLICA</w:t>
      </w:r>
    </w:p>
    <w:p w:rsidR="005516EA" w:rsidRPr="00EC3FDF" w:rsidRDefault="005516EA" w:rsidP="005516EA">
      <w:pPr>
        <w:shd w:val="clear" w:color="auto" w:fill="FFFFFF"/>
        <w:spacing w:after="120"/>
        <w:jc w:val="center"/>
        <w:outlineLvl w:val="1"/>
        <w:rPr>
          <w:rFonts w:eastAsia="Times New Roman" w:cstheme="minorHAnsi"/>
          <w:b/>
          <w:bCs/>
          <w:color w:val="19191A"/>
          <w:lang w:eastAsia="it-IT"/>
        </w:rPr>
      </w:pPr>
      <w:r w:rsidRPr="00EC3FDF">
        <w:rPr>
          <w:rFonts w:eastAsia="Times New Roman" w:cstheme="minorHAnsi"/>
          <w:b/>
          <w:bCs/>
          <w:color w:val="19191A"/>
          <w:lang w:eastAsia="it-IT"/>
        </w:rPr>
        <w:t>Promulga</w:t>
      </w:r>
    </w:p>
    <w:p w:rsidR="005516EA" w:rsidRPr="00EC3FDF" w:rsidRDefault="005516EA" w:rsidP="005516EA">
      <w:pPr>
        <w:shd w:val="clear" w:color="auto" w:fill="FFFFFF"/>
        <w:spacing w:after="100" w:afterAutospacing="1"/>
        <w:jc w:val="center"/>
        <w:rPr>
          <w:rFonts w:eastAsia="Times New Roman" w:cstheme="minorHAnsi"/>
          <w:color w:val="19191A"/>
          <w:lang w:eastAsia="it-IT"/>
        </w:rPr>
      </w:pPr>
      <w:r w:rsidRPr="00EC3FDF">
        <w:rPr>
          <w:rFonts w:eastAsia="Times New Roman" w:cstheme="minorHAnsi"/>
          <w:color w:val="19191A"/>
          <w:lang w:eastAsia="it-IT"/>
        </w:rPr>
        <w:t>la seguente legge:</w:t>
      </w:r>
    </w:p>
    <w:p w:rsidR="005516EA" w:rsidRPr="00EC3FDF" w:rsidRDefault="005516EA" w:rsidP="005516EA">
      <w:pPr>
        <w:shd w:val="clear" w:color="auto" w:fill="FFFFFF"/>
        <w:spacing w:after="120"/>
        <w:jc w:val="center"/>
        <w:outlineLvl w:val="1"/>
        <w:rPr>
          <w:rFonts w:eastAsia="Times New Roman" w:cstheme="minorHAnsi"/>
          <w:b/>
          <w:bCs/>
          <w:color w:val="19191A"/>
          <w:lang w:eastAsia="it-IT"/>
        </w:rPr>
      </w:pPr>
      <w:r w:rsidRPr="00EC3FDF">
        <w:rPr>
          <w:rFonts w:eastAsia="Times New Roman" w:cstheme="minorHAnsi"/>
          <w:b/>
          <w:bCs/>
          <w:color w:val="19191A"/>
          <w:lang w:eastAsia="it-IT"/>
        </w:rPr>
        <w:t>Art. 1</w:t>
      </w:r>
    </w:p>
    <w:p w:rsidR="005516EA" w:rsidRPr="00EC3FDF" w:rsidRDefault="005516EA" w:rsidP="005516EA">
      <w:pPr>
        <w:shd w:val="clear" w:color="auto" w:fill="FFFFFF"/>
        <w:jc w:val="center"/>
        <w:rPr>
          <w:rFonts w:eastAsia="Times New Roman" w:cstheme="minorHAnsi"/>
          <w:color w:val="19191A"/>
          <w:lang w:eastAsia="it-IT"/>
        </w:rPr>
      </w:pPr>
      <w:r w:rsidRPr="00EC3FDF">
        <w:rPr>
          <w:rFonts w:eastAsia="Times New Roman" w:cstheme="minorHAnsi"/>
          <w:color w:val="19191A"/>
          <w:lang w:eastAsia="it-IT"/>
        </w:rPr>
        <w:t>Modifiche alla </w:t>
      </w:r>
      <w:hyperlink r:id="rId4" w:tgtFrame="_blank" w:history="1">
        <w:r w:rsidRPr="00EC3FDF">
          <w:rPr>
            <w:rFonts w:eastAsia="Times New Roman" w:cstheme="minorHAnsi"/>
            <w:color w:val="0066CC"/>
            <w:u w:val="single"/>
            <w:lang w:eastAsia="it-IT"/>
          </w:rPr>
          <w:t>legge 29 maggio 2017, n. 71</w:t>
        </w:r>
      </w:hyperlink>
    </w:p>
    <w:p w:rsidR="005516EA" w:rsidRPr="00EC3FDF" w:rsidRDefault="00000000" w:rsidP="005516EA">
      <w:pPr>
        <w:shd w:val="clear" w:color="auto" w:fill="FFFFFF"/>
        <w:rPr>
          <w:rFonts w:eastAsia="Times New Roman" w:cstheme="minorHAnsi"/>
          <w:color w:val="19191A"/>
          <w:lang w:eastAsia="it-IT"/>
        </w:rPr>
      </w:pPr>
      <w:hyperlink r:id="rId5" w:tgtFrame="_blank" w:history="1">
        <w:r w:rsidR="005516EA" w:rsidRPr="00EC3FDF">
          <w:rPr>
            <w:rFonts w:eastAsia="Times New Roman" w:cstheme="minorHAnsi"/>
            <w:b/>
            <w:bCs/>
            <w:color w:val="0066CC"/>
            <w:u w:val="single"/>
            <w:lang w:eastAsia="it-IT"/>
          </w:rPr>
          <w:t>1</w:t>
        </w:r>
      </w:hyperlink>
      <w:r w:rsidR="005516EA" w:rsidRPr="00EC3FDF">
        <w:rPr>
          <w:rFonts w:eastAsia="Times New Roman" w:cstheme="minorHAnsi"/>
          <w:color w:val="19191A"/>
          <w:lang w:eastAsia="it-IT"/>
        </w:rPr>
        <w:t>. Alla </w:t>
      </w:r>
      <w:hyperlink r:id="rId6" w:tgtFrame="_blank" w:history="1">
        <w:r w:rsidR="005516EA" w:rsidRPr="00EC3FDF">
          <w:rPr>
            <w:rFonts w:eastAsia="Times New Roman" w:cstheme="minorHAnsi"/>
            <w:color w:val="0066CC"/>
            <w:u w:val="single"/>
            <w:lang w:eastAsia="it-IT"/>
          </w:rPr>
          <w:t>legge 29 maggio 2017, n. 71</w:t>
        </w:r>
      </w:hyperlink>
      <w:r w:rsidR="005516EA" w:rsidRPr="00EC3FDF">
        <w:rPr>
          <w:rFonts w:eastAsia="Times New Roman" w:cstheme="minorHAnsi"/>
          <w:color w:val="19191A"/>
          <w:lang w:eastAsia="it-IT"/>
        </w:rPr>
        <w:t>, sono apportate le seguenti modificazioni: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a) all'articolo 1: </w:t>
      </w:r>
      <w:r w:rsidRPr="00EC3FDF">
        <w:rPr>
          <w:rFonts w:eastAsia="Times New Roman" w:cstheme="minorHAnsi"/>
          <w:color w:val="19191A"/>
          <w:lang w:eastAsia="it-IT"/>
        </w:rPr>
        <w:br/>
        <w:t xml:space="preserve">1) il comma </w:t>
      </w:r>
      <w:proofErr w:type="gramStart"/>
      <w:r w:rsidRPr="00EC3FDF">
        <w:rPr>
          <w:rFonts w:eastAsia="Times New Roman" w:cstheme="minorHAnsi"/>
          <w:color w:val="19191A"/>
          <w:lang w:eastAsia="it-IT"/>
        </w:rPr>
        <w:t>l è</w:t>
      </w:r>
      <w:proofErr w:type="gramEnd"/>
      <w:r w:rsidRPr="00EC3FDF">
        <w:rPr>
          <w:rFonts w:eastAsia="Times New Roman" w:cstheme="minorHAnsi"/>
          <w:color w:val="19191A"/>
          <w:lang w:eastAsia="it-IT"/>
        </w:rPr>
        <w:t xml:space="preserve"> sostituito dal seguente: </w:t>
      </w:r>
      <w:r w:rsidRPr="00EC3FDF">
        <w:rPr>
          <w:rFonts w:eastAsia="Times New Roman" w:cstheme="minorHAnsi"/>
          <w:color w:val="19191A"/>
          <w:lang w:eastAsia="it-IT"/>
        </w:rPr>
        <w:br/>
        <w:t>«1. La presente legge è volta a prevenire e contrastare i fenomeni del bullismo e del cyberbullismo in tutte le loro manifestazioni, in particolare con azioni di carattere preventivo e con una strategia di attenzione e tutela nei confronti dei minori, sia nella posizione di vittime sia in quella di responsabili di illeciti, privilegiando azioni di carattere formativo ed educativo e assicurando l'attuazione degli interventi, senza distinzione di età, nell'ambito delle istituzioni scolastiche, delle organizzazioni degli enti locali, sportive e del Terzo settore che svolgono attività educative, anche non formali, e nei riguardi dei soggetti esercenti la responsabilità genitoriale, cui incombe l'obbligo di orientare i figli al corretto utilizzo delle tecnologie e di presidiarne l'uso»; </w:t>
      </w:r>
      <w:r w:rsidRPr="00EC3FDF">
        <w:rPr>
          <w:rFonts w:eastAsia="Times New Roman" w:cstheme="minorHAnsi"/>
          <w:color w:val="19191A"/>
          <w:lang w:eastAsia="it-IT"/>
        </w:rPr>
        <w:br/>
        <w:t>2) dopo il comma 1 è inserito il seguente: </w:t>
      </w:r>
      <w:r w:rsidRPr="00EC3FDF">
        <w:rPr>
          <w:rFonts w:eastAsia="Times New Roman" w:cstheme="minorHAnsi"/>
          <w:color w:val="19191A"/>
          <w:lang w:eastAsia="it-IT"/>
        </w:rPr>
        <w:br/>
        <w:t>«1-bis. Ai fini della presente legge, per "bullismo" si intendono l'aggressione o la molestia reiterate, da parte di una singola persona o di un gruppo di persone, in danno di un minore o di un gruppo di minori, idonee a provocare sentimenti di ansia, di timore, di isolamento o di emarginazione, attraverso atti o comportamenti vessatori, pressioni o violenze fisiche o psicologiche, istigazione al suicidio o all'autolesionismo, minacce o ricatti, furti o danneggiamenti, offese o derisioni»;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b) all'articolo 3: </w:t>
      </w:r>
      <w:r w:rsidRPr="00EC3FDF">
        <w:rPr>
          <w:rFonts w:eastAsia="Times New Roman" w:cstheme="minorHAnsi"/>
          <w:color w:val="19191A"/>
          <w:lang w:eastAsia="it-IT"/>
        </w:rPr>
        <w:br/>
        <w:t xml:space="preserve">1) al comma 1, primo periodo, le parole da: «Con decreto del Presidente del Consiglio dei ministri» fino a: «Ministero dello sviluppo economico» sono sostituite dalle seguenti: «Con decreto del Ministro dell'istruzione e del merito, di concerto con l'Autorità politica delegata per le politiche della famiglia, da adottare entro trenta giorni dalla data di entrata in vigore della presente disposizione, è istituito presso il medesimo Ministero, senza nuovi o maggiori oneri per la finanza pubblica, il tavolo tecnico per la prevenzione e il contrasto del bullismo e del cyberbullismo, del quale fanno parte rappresentanti del Dipartimento per le politiche della famiglia della Presidenza del Consiglio dei ministri, del Ministero dell'istruzione e del merito, del Ministero dell'interno, del Ministero del lavoro e delle politiche sociali, del Ministero della giustizia, del Ministero delle imprese e del made in </w:t>
      </w:r>
      <w:proofErr w:type="spellStart"/>
      <w:r w:rsidRPr="00EC3FDF">
        <w:rPr>
          <w:rFonts w:eastAsia="Times New Roman" w:cstheme="minorHAnsi"/>
          <w:color w:val="19191A"/>
          <w:lang w:eastAsia="it-IT"/>
        </w:rPr>
        <w:t>Italy</w:t>
      </w:r>
      <w:proofErr w:type="spellEnd"/>
      <w:r w:rsidRPr="00EC3FDF">
        <w:rPr>
          <w:rFonts w:eastAsia="Times New Roman" w:cstheme="minorHAnsi"/>
          <w:color w:val="19191A"/>
          <w:lang w:eastAsia="it-IT"/>
        </w:rPr>
        <w:t>», dopo le parole: «del Garante per l'infanzia e l'adolescenza,» sono inserite le seguenti: «del Consiglio nazionale degli utenti,» e sono aggiunte, in fine, le seguenti parole: «nonché esperti dotati di specifiche competenze in campo psicologico, pedagogico e delle comunicazioni sociali telematiche, nominati dal Ministro dell'istruzione e del merito, di concerto con l'Autorità politica delegata per le politiche della famiglia»; </w:t>
      </w:r>
      <w:r w:rsidRPr="00EC3FDF">
        <w:rPr>
          <w:rFonts w:eastAsia="Times New Roman" w:cstheme="minorHAnsi"/>
          <w:color w:val="19191A"/>
          <w:lang w:eastAsia="it-IT"/>
        </w:rPr>
        <w:br/>
        <w:t xml:space="preserve">2) al comma 2, le parole da: «coordinato dal Ministero dell'istruzione» fino a: «prevenzione del cyberbullismo» sono sostituite dalle seguenti: «convocato regolarmente a cadenza semestrale e </w:t>
      </w:r>
      <w:r w:rsidRPr="00EC3FDF">
        <w:rPr>
          <w:rFonts w:eastAsia="Times New Roman" w:cstheme="minorHAnsi"/>
          <w:color w:val="19191A"/>
          <w:lang w:eastAsia="it-IT"/>
        </w:rPr>
        <w:lastRenderedPageBreak/>
        <w:t>presieduto da un rappresentante del Dipartimento per le politiche della famiglia della Presidenza del Consiglio dei ministri, redige, entro centottanta giorni dal suo insediamento, un piano di azione integrato per il contrasto e la prevenzione del bullismo e del cyberbullismo» ed è aggiunto, in fine, il seguente periodo: «Il tavolo tecnico collabora con la Consulta dei diritti e dei doveri del bambino e dell'adolescente digitale, di cui al </w:t>
      </w:r>
      <w:hyperlink r:id="rId7" w:tgtFrame="_blank" w:history="1">
        <w:r w:rsidRPr="00EC3FDF">
          <w:rPr>
            <w:rFonts w:eastAsia="Times New Roman" w:cstheme="minorHAnsi"/>
            <w:color w:val="0066CC"/>
            <w:u w:val="single"/>
            <w:lang w:eastAsia="it-IT"/>
          </w:rPr>
          <w:t>comma 3 dell'articolo 5 della legge 20 agosto 2019, n. 92</w:t>
        </w:r>
      </w:hyperlink>
      <w:r w:rsidRPr="00EC3FDF">
        <w:rPr>
          <w:rFonts w:eastAsia="Times New Roman" w:cstheme="minorHAnsi"/>
          <w:color w:val="19191A"/>
          <w:lang w:eastAsia="it-IT"/>
        </w:rPr>
        <w:t>»; </w:t>
      </w:r>
      <w:r w:rsidRPr="00EC3FDF">
        <w:rPr>
          <w:rFonts w:eastAsia="Times New Roman" w:cstheme="minorHAnsi"/>
          <w:color w:val="19191A"/>
          <w:lang w:eastAsia="it-IT"/>
        </w:rPr>
        <w:br/>
        <w:t>3) al comma 3, primo periodo, dopo le parole: «contrasto del» sono inserite le seguenti: «bullismo e del»; </w:t>
      </w:r>
      <w:r w:rsidRPr="00EC3FDF">
        <w:rPr>
          <w:rFonts w:eastAsia="Times New Roman" w:cstheme="minorHAnsi"/>
          <w:color w:val="19191A"/>
          <w:lang w:eastAsia="it-IT"/>
        </w:rPr>
        <w:br/>
        <w:t>4) i commi da 4 a 6 sono sostituiti dai seguenti: </w:t>
      </w:r>
      <w:r w:rsidRPr="00EC3FDF">
        <w:rPr>
          <w:rFonts w:eastAsia="Times New Roman" w:cstheme="minorHAnsi"/>
          <w:color w:val="19191A"/>
          <w:lang w:eastAsia="it-IT"/>
        </w:rPr>
        <w:br/>
        <w:t>«4. Il piano di cui al comma 2 stabilisce altresì le iniziative di informazione e di prevenzione dei fenomeni del bullismo e del cyberbullismo rivolte ai cittadini, coinvolgendo primariamente i servizi socio-educativi presenti sul territorio in sinergia con le istituzioni scolastiche, gli enti locali, le organizzazioni sportive e gli enti del Terzo settore. </w:t>
      </w:r>
      <w:r w:rsidRPr="00EC3FDF">
        <w:rPr>
          <w:rFonts w:eastAsia="Times New Roman" w:cstheme="minorHAnsi"/>
          <w:color w:val="19191A"/>
          <w:lang w:eastAsia="it-IT"/>
        </w:rPr>
        <w:br/>
        <w:t>5. Nell'ambito del piano di cui al comma 2 l'Autorità politica delegata per le politiche della famiglia, in collaborazione con l'Autorità per le garanzie nelle comunicazioni e con il Garante per la protezione dei dati personali, predispone, nei limiti delle risorse di cui al primo periodo del comma 7, periodiche campagne informative di prevenzione e di sensibilizzazione sui fenomeni del bullismo e del cyberbullismo, anche per la diffusione della conoscenza dei sistemi di controllo parentale, avvalendosi dei principali media nonché degli organi di comunicazione e di stampa e di soggetti privati. </w:t>
      </w:r>
      <w:r w:rsidRPr="00EC3FDF">
        <w:rPr>
          <w:rFonts w:eastAsia="Times New Roman" w:cstheme="minorHAnsi"/>
          <w:color w:val="19191A"/>
          <w:lang w:eastAsia="it-IT"/>
        </w:rPr>
        <w:br/>
        <w:t>6. A decorrere dall'anno successivo a quello in corso alla data di entrata in vigore della presente disposizione, il Ministro dell'istruzione e del merito trasmette alle Camere, entro il 31 dicembre di ogni anno, una relazione sugli esiti delle attività svolte dal tavolo tecnico per la prevenzione e il contrasto del bullismo e del cyberbullismo, di cui al comma 1»; </w:t>
      </w:r>
      <w:r w:rsidRPr="00EC3FDF">
        <w:rPr>
          <w:rFonts w:eastAsia="Times New Roman" w:cstheme="minorHAnsi"/>
          <w:color w:val="19191A"/>
          <w:lang w:eastAsia="it-IT"/>
        </w:rPr>
        <w:br/>
        <w:t>5) dopo il comma 7 è inserito il seguente: </w:t>
      </w:r>
      <w:r w:rsidRPr="00EC3FDF">
        <w:rPr>
          <w:rFonts w:eastAsia="Times New Roman" w:cstheme="minorHAnsi"/>
          <w:color w:val="19191A"/>
          <w:lang w:eastAsia="it-IT"/>
        </w:rPr>
        <w:br/>
        <w:t>«7-bis. Ai fini dell'attuazione delle disposizioni di cui al comma 5, l'autorizzazione di spesa di cui al comma 7 è incrementata di euro 100.000 annui a decorrere dall'anno 2024. Al relativo onere si provvede mediante corrispondente riduzione dello stanziamento del fondo speciale di parte corrente iscritto, ai fini del bilancio triennale 2024-2026, nell'ambito del programma "Fondi di riserva e speciali" della missione "Fondi da ripartire" dello stato di previsione del Ministero dell'economia e delle finanze per l'anno 2024, allo scopo parzialmente utilizzando l'accantonamento relativo al medesimo Ministero»;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c) all'articolo 4: </w:t>
      </w:r>
      <w:r w:rsidRPr="00EC3FDF">
        <w:rPr>
          <w:rFonts w:eastAsia="Times New Roman" w:cstheme="minorHAnsi"/>
          <w:color w:val="19191A"/>
          <w:lang w:eastAsia="it-IT"/>
        </w:rPr>
        <w:br/>
        <w:t>1) al comma 1, le parole: «per la prevenzione e il contrasto» sono sostituite dalle seguenti: «, recanti anche l'indicazione delle procedure, per la prevenzione e il contrasto del bullismo e»; </w:t>
      </w:r>
      <w:r w:rsidRPr="00EC3FDF">
        <w:rPr>
          <w:rFonts w:eastAsia="Times New Roman" w:cstheme="minorHAnsi"/>
          <w:color w:val="19191A"/>
          <w:lang w:eastAsia="it-IT"/>
        </w:rPr>
        <w:br/>
        <w:t>2) al comma 2, primo periodo, dopo le parole: «contrasto del» sono inserite le seguenti: «bullismo e del»; </w:t>
      </w:r>
      <w:r w:rsidRPr="00EC3FDF">
        <w:rPr>
          <w:rFonts w:eastAsia="Times New Roman" w:cstheme="minorHAnsi"/>
          <w:color w:val="19191A"/>
          <w:lang w:eastAsia="it-IT"/>
        </w:rPr>
        <w:br/>
        <w:t>3) dopo il comma 2 è inserito il seguente: </w:t>
      </w:r>
      <w:r w:rsidRPr="00EC3FDF">
        <w:rPr>
          <w:rFonts w:eastAsia="Times New Roman" w:cstheme="minorHAnsi"/>
          <w:color w:val="19191A"/>
          <w:lang w:eastAsia="it-IT"/>
        </w:rPr>
        <w:br/>
        <w:t>«2-bis. Ogni istituto scolastico, nell'ambito della propria autonomia e in conformità alle linee di orientamento di cui al comma 1, adotta un codice interno per la prevenzione e il contrasto dei fenomeni del bullismo e del cyberbullismo e istituisce un tavolo permanente di monitoraggio del quale fanno parte rappresentanti degli studenti, degli insegnanti, delle famiglie ed esperti di settore»; </w:t>
      </w:r>
      <w:r w:rsidRPr="00EC3FDF">
        <w:rPr>
          <w:rFonts w:eastAsia="Times New Roman" w:cstheme="minorHAnsi"/>
          <w:color w:val="19191A"/>
          <w:lang w:eastAsia="it-IT"/>
        </w:rPr>
        <w:br/>
        <w:t>4) al comma 3, dopo la parola: «autonomia,» sono inserite le seguenti: «recepisce nel proprio regolamento di istituto le linee di orientamento di cui al comma 1, anche con riferimento alle procedure da adottare per la prevenzione e il contrasto del bullismo e del cyberbullismo, e» e le parole: «le iniziative di prevenzione e contrasto del cyberbullismo» sono sostituite dalle seguenti: «le relative iniziative»; </w:t>
      </w:r>
      <w:r w:rsidRPr="00EC3FDF">
        <w:rPr>
          <w:rFonts w:eastAsia="Times New Roman" w:cstheme="minorHAnsi"/>
          <w:color w:val="19191A"/>
          <w:lang w:eastAsia="it-IT"/>
        </w:rPr>
        <w:br/>
        <w:t xml:space="preserve">5) al comma 4, primo periodo, dopo le parole: «azioni integrate di contrasto del» sono inserite le </w:t>
      </w:r>
      <w:r w:rsidRPr="00EC3FDF">
        <w:rPr>
          <w:rFonts w:eastAsia="Times New Roman" w:cstheme="minorHAnsi"/>
          <w:color w:val="19191A"/>
          <w:lang w:eastAsia="it-IT"/>
        </w:rPr>
        <w:lastRenderedPageBreak/>
        <w:t>seguenti: «bullismo e del»; </w:t>
      </w:r>
      <w:r w:rsidRPr="00EC3FDF">
        <w:rPr>
          <w:rFonts w:eastAsia="Times New Roman" w:cstheme="minorHAnsi"/>
          <w:color w:val="19191A"/>
          <w:lang w:eastAsia="it-IT"/>
        </w:rPr>
        <w:br/>
        <w:t>6) al comma 6, dopo le parole: «minori vittime di atti di» sono inserite le seguenti: «bullismo e di»;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d) dopo l'articolo 4 è inserito il seguente: </w:t>
      </w:r>
      <w:r w:rsidRPr="00EC3FDF">
        <w:rPr>
          <w:rFonts w:eastAsia="Times New Roman" w:cstheme="minorHAnsi"/>
          <w:color w:val="19191A"/>
          <w:lang w:eastAsia="it-IT"/>
        </w:rPr>
        <w:br/>
        <w:t xml:space="preserve">«Art. 4-bis (Servizio di sostegno psicologico agli studenti). - 1. Per l'attuazione delle finalità della presente legge, le regioni possono adottare iniziative </w:t>
      </w:r>
      <w:proofErr w:type="spellStart"/>
      <w:r w:rsidRPr="00EC3FDF">
        <w:rPr>
          <w:rFonts w:eastAsia="Times New Roman" w:cstheme="minorHAnsi"/>
          <w:color w:val="19191A"/>
          <w:lang w:eastAsia="it-IT"/>
        </w:rPr>
        <w:t>affinchè</w:t>
      </w:r>
      <w:proofErr w:type="spellEnd"/>
      <w:r w:rsidRPr="00EC3FDF">
        <w:rPr>
          <w:rFonts w:eastAsia="Times New Roman" w:cstheme="minorHAnsi"/>
          <w:color w:val="19191A"/>
          <w:lang w:eastAsia="it-IT"/>
        </w:rPr>
        <w:t xml:space="preserve"> sia fornito alle istituzioni scolastiche di ogni ordine e grado, che lo richiedano, anche tramite convenzione con gli uffici scolastici regionali, nei limiti delle risorse disponibili a legislazione vigente e, comunque, senza nuovi o maggiori oneri per la finanza pubblica, un servizio di sostegno psicologico agli studenti, al fine di favorire lo sviluppo e la formazione della personalità degli studenti medesimi nonché di prevenire fattori di rischio o situazioni di disagio, anche attraverso il coinvolgimento delle famiglie»;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e) all'articolo 5: </w:t>
      </w:r>
      <w:r w:rsidRPr="00EC3FDF">
        <w:rPr>
          <w:rFonts w:eastAsia="Times New Roman" w:cstheme="minorHAnsi"/>
          <w:color w:val="19191A"/>
          <w:lang w:eastAsia="it-IT"/>
        </w:rPr>
        <w:br/>
        <w:t>1) il comma 1 è sostituito dal seguente: </w:t>
      </w:r>
      <w:r w:rsidRPr="00EC3FDF">
        <w:rPr>
          <w:rFonts w:eastAsia="Times New Roman" w:cstheme="minorHAnsi"/>
          <w:color w:val="19191A"/>
          <w:lang w:eastAsia="it-IT"/>
        </w:rPr>
        <w:br/>
        <w:t>«1. Salvo che il fatto costituisca reato, il dirigente scolastico che, nell'esercizio delle sue funzioni, venga a conoscenza di atti di cui all'articolo 1, realizzati anche in forma non telematica, che coinvolgano studenti iscritti all'istituto scolastico che dirige, applica le procedure previste dalle linee di orientamento di cui all'articolo 4. Egli informa altresì tempestivamente i genitori dei minori coinvolti o i soggetti esercenti la responsabilità genitoriale su di essi e promuove adeguate iniziative di carattere educativo nei riguardi dei minori medesimi, anche con l'eventuale coinvolgimento del gruppo costituente la classe in percorsi di mediazione scolastica. Nei casi più gravi ovvero se si tratti di condotte reiterate e, comunque, quando le iniziative di carattere educativo adottate dall'istituzione scolastica non abbiano prodotto esito positivo, il dirigente scolastico riferisce alle autorità competenti anche per l'eventuale attivazione delle misure rieducative di cui all'</w:t>
      </w:r>
      <w:hyperlink r:id="rId8" w:tgtFrame="_blank" w:history="1">
        <w:r w:rsidRPr="00EC3FDF">
          <w:rPr>
            <w:rFonts w:eastAsia="Times New Roman" w:cstheme="minorHAnsi"/>
            <w:color w:val="0066CC"/>
            <w:u w:val="single"/>
            <w:lang w:eastAsia="it-IT"/>
          </w:rPr>
          <w:t>articolo 25 del regio decreto-legge 20 luglio 1934, n. 1404</w:t>
        </w:r>
      </w:hyperlink>
      <w:r w:rsidRPr="00EC3FDF">
        <w:rPr>
          <w:rFonts w:eastAsia="Times New Roman" w:cstheme="minorHAnsi"/>
          <w:color w:val="19191A"/>
          <w:lang w:eastAsia="it-IT"/>
        </w:rPr>
        <w:t>, convertito, con modificazioni, dalla </w:t>
      </w:r>
      <w:hyperlink r:id="rId9" w:tgtFrame="_blank" w:history="1">
        <w:r w:rsidRPr="00EC3FDF">
          <w:rPr>
            <w:rFonts w:eastAsia="Times New Roman" w:cstheme="minorHAnsi"/>
            <w:color w:val="0066CC"/>
            <w:u w:val="single"/>
            <w:lang w:eastAsia="it-IT"/>
          </w:rPr>
          <w:t>legge 27 maggio 1935, n. 835</w:t>
        </w:r>
      </w:hyperlink>
      <w:r w:rsidRPr="00EC3FDF">
        <w:rPr>
          <w:rFonts w:eastAsia="Times New Roman" w:cstheme="minorHAnsi"/>
          <w:color w:val="19191A"/>
          <w:lang w:eastAsia="it-IT"/>
        </w:rPr>
        <w:t>»; </w:t>
      </w:r>
      <w:r w:rsidRPr="00EC3FDF">
        <w:rPr>
          <w:rFonts w:eastAsia="Times New Roman" w:cstheme="minorHAnsi"/>
          <w:color w:val="19191A"/>
          <w:lang w:eastAsia="it-IT"/>
        </w:rPr>
        <w:br/>
        <w:t>2) al comma 2, le parole: «con specifici riferimenti a condotte di» sono sostituite dalle seguenti: «, sulla base delle linee di orientamento di cui all'articolo 4 della presente legge, con specifici riferimenti alle condotte di bullismo e di»;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f) all'articolo 7, comma 1: </w:t>
      </w:r>
      <w:r w:rsidRPr="00EC3FDF">
        <w:rPr>
          <w:rFonts w:eastAsia="Times New Roman" w:cstheme="minorHAnsi"/>
          <w:color w:val="19191A"/>
          <w:lang w:eastAsia="it-IT"/>
        </w:rPr>
        <w:br/>
        <w:t>1) le parole: «595 e 612» sono sostituite dalle seguenti: «595, 612 e 612-ter»; </w:t>
      </w:r>
      <w:r w:rsidRPr="00EC3FDF">
        <w:rPr>
          <w:rFonts w:eastAsia="Times New Roman" w:cstheme="minorHAnsi"/>
          <w:color w:val="19191A"/>
          <w:lang w:eastAsia="it-IT"/>
        </w:rPr>
        <w:br/>
        <w:t>2) dopo la parola: «commessi,» è inserita la seguente: «anche»;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g) il titolo è sostituito dal seguente: «Disposizioni a tutela dei minori per la prevenzione e il contrasto dei fenomeni del bullismo e del cyberbullismo». </w:t>
      </w:r>
    </w:p>
    <w:p w:rsidR="005516EA" w:rsidRPr="00EC3FDF" w:rsidRDefault="005516EA" w:rsidP="005516EA">
      <w:pPr>
        <w:shd w:val="clear" w:color="auto" w:fill="FFFFFF"/>
        <w:spacing w:after="120"/>
        <w:jc w:val="center"/>
        <w:outlineLvl w:val="1"/>
        <w:rPr>
          <w:rFonts w:eastAsia="Times New Roman" w:cstheme="minorHAnsi"/>
          <w:b/>
          <w:bCs/>
          <w:color w:val="19191A"/>
          <w:lang w:eastAsia="it-IT"/>
        </w:rPr>
      </w:pPr>
      <w:r w:rsidRPr="00EC3FDF">
        <w:rPr>
          <w:rFonts w:eastAsia="Times New Roman" w:cstheme="minorHAnsi"/>
          <w:b/>
          <w:bCs/>
          <w:color w:val="19191A"/>
          <w:lang w:eastAsia="it-IT"/>
        </w:rPr>
        <w:t>Art. 2</w:t>
      </w:r>
    </w:p>
    <w:p w:rsidR="005516EA" w:rsidRPr="00EC3FDF" w:rsidRDefault="005516EA" w:rsidP="005516EA">
      <w:pPr>
        <w:shd w:val="clear" w:color="auto" w:fill="FFFFFF"/>
        <w:jc w:val="center"/>
        <w:rPr>
          <w:rFonts w:eastAsia="Times New Roman" w:cstheme="minorHAnsi"/>
          <w:color w:val="19191A"/>
          <w:lang w:eastAsia="it-IT"/>
        </w:rPr>
      </w:pPr>
      <w:r w:rsidRPr="00EC3FDF">
        <w:rPr>
          <w:rFonts w:eastAsia="Times New Roman" w:cstheme="minorHAnsi"/>
          <w:color w:val="19191A"/>
          <w:lang w:eastAsia="it-IT"/>
        </w:rPr>
        <w:t>Modifiche al </w:t>
      </w:r>
      <w:hyperlink r:id="rId10" w:tgtFrame="_blank" w:history="1">
        <w:r w:rsidRPr="00EC3FDF">
          <w:rPr>
            <w:rFonts w:eastAsia="Times New Roman" w:cstheme="minorHAnsi"/>
            <w:color w:val="0066CC"/>
            <w:u w:val="single"/>
            <w:lang w:eastAsia="it-IT"/>
          </w:rPr>
          <w:t>regio decreto-legge 20 luglio 1934, n. 1404</w:t>
        </w:r>
      </w:hyperlink>
      <w:r w:rsidRPr="00EC3FDF">
        <w:rPr>
          <w:rFonts w:eastAsia="Times New Roman" w:cstheme="minorHAnsi"/>
          <w:color w:val="19191A"/>
          <w:lang w:eastAsia="it-IT"/>
        </w:rPr>
        <w:t>, convertito, con modificazioni, dalla </w:t>
      </w:r>
      <w:hyperlink r:id="rId11" w:tgtFrame="_blank" w:history="1">
        <w:r w:rsidRPr="00EC3FDF">
          <w:rPr>
            <w:rFonts w:eastAsia="Times New Roman" w:cstheme="minorHAnsi"/>
            <w:color w:val="0066CC"/>
            <w:u w:val="single"/>
            <w:lang w:eastAsia="it-IT"/>
          </w:rPr>
          <w:t>legge 27 maggio 1935, n. 835</w:t>
        </w:r>
      </w:hyperlink>
      <w:r w:rsidRPr="00EC3FDF">
        <w:rPr>
          <w:rFonts w:eastAsia="Times New Roman" w:cstheme="minorHAnsi"/>
          <w:color w:val="19191A"/>
          <w:lang w:eastAsia="it-IT"/>
        </w:rPr>
        <w:t>, in materia di provvedimenti del tribunale per i minorenni.</w:t>
      </w:r>
    </w:p>
    <w:p w:rsidR="005516EA" w:rsidRPr="00EC3FDF" w:rsidRDefault="005516EA" w:rsidP="005516EA">
      <w:pPr>
        <w:shd w:val="clear" w:color="auto" w:fill="FFFFFF"/>
        <w:rPr>
          <w:rFonts w:eastAsia="Times New Roman" w:cstheme="minorHAnsi"/>
          <w:color w:val="19191A"/>
          <w:lang w:eastAsia="it-IT"/>
        </w:rPr>
      </w:pPr>
      <w:r w:rsidRPr="00EC3FDF">
        <w:rPr>
          <w:rFonts w:eastAsia="Times New Roman" w:cstheme="minorHAnsi"/>
          <w:b/>
          <w:bCs/>
          <w:color w:val="19191A"/>
          <w:lang w:eastAsia="it-IT"/>
        </w:rPr>
        <w:t>1. </w:t>
      </w:r>
      <w:r w:rsidRPr="00EC3FDF">
        <w:rPr>
          <w:rFonts w:eastAsia="Times New Roman" w:cstheme="minorHAnsi"/>
          <w:color w:val="19191A"/>
          <w:lang w:eastAsia="it-IT"/>
        </w:rPr>
        <w:t>Al </w:t>
      </w:r>
      <w:hyperlink r:id="rId12" w:tgtFrame="_blank" w:history="1">
        <w:r w:rsidRPr="00EC3FDF">
          <w:rPr>
            <w:rFonts w:eastAsia="Times New Roman" w:cstheme="minorHAnsi"/>
            <w:color w:val="0066CC"/>
            <w:u w:val="single"/>
            <w:lang w:eastAsia="it-IT"/>
          </w:rPr>
          <w:t>regio decreto-legge 20 luglio 1934, n. 1404</w:t>
        </w:r>
      </w:hyperlink>
      <w:r w:rsidRPr="00EC3FDF">
        <w:rPr>
          <w:rFonts w:eastAsia="Times New Roman" w:cstheme="minorHAnsi"/>
          <w:color w:val="19191A"/>
          <w:lang w:eastAsia="it-IT"/>
        </w:rPr>
        <w:t>, convertito, con modificazioni, dalla </w:t>
      </w:r>
      <w:hyperlink r:id="rId13" w:tgtFrame="_blank" w:history="1">
        <w:r w:rsidRPr="00EC3FDF">
          <w:rPr>
            <w:rFonts w:eastAsia="Times New Roman" w:cstheme="minorHAnsi"/>
            <w:color w:val="0066CC"/>
            <w:u w:val="single"/>
            <w:lang w:eastAsia="it-IT"/>
          </w:rPr>
          <w:t>legge 27 maggio 1935, n. 835</w:t>
        </w:r>
      </w:hyperlink>
      <w:r w:rsidRPr="00EC3FDF">
        <w:rPr>
          <w:rFonts w:eastAsia="Times New Roman" w:cstheme="minorHAnsi"/>
          <w:color w:val="19191A"/>
          <w:lang w:eastAsia="it-IT"/>
        </w:rPr>
        <w:t>, sono apportate le seguenti modificazioni: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a) l'articolo 25 è sostituito dal seguente: </w:t>
      </w:r>
      <w:r w:rsidRPr="00EC3FDF">
        <w:rPr>
          <w:rFonts w:eastAsia="Times New Roman" w:cstheme="minorHAnsi"/>
          <w:color w:val="19191A"/>
          <w:lang w:eastAsia="it-IT"/>
        </w:rPr>
        <w:br/>
        <w:t>«Art. 25 (Misure rieducative). - 1. Il procuratore della Repubblica presso il tribunale per i minorenni, quando abbia acquisito la notizia che un minore degli anni diciotto dà manifeste prove di irregolarità della condotta o del carattere ovvero tiene condotte aggressive, anche in gruppo, anche per via telematica, nei confronti di persone, animali o cose ovvero lesive della dignità altrui, assunte le necessarie informazioni, verifica le condizioni per l'attivazione di un percorso di mediazione oppure può chiedere al tribunale per i minorenni di disporre, con decreto motivato, previo ascolto del minorenne e dei genitori ovvero degli altri esercenti la responsabilità genitoriale, lo svolgimento di un progetto di intervento educativo con finalità rieducativa e riparativa sotto la direzione e il controllo dei servizi sociali. </w:t>
      </w:r>
      <w:r w:rsidRPr="00EC3FDF">
        <w:rPr>
          <w:rFonts w:eastAsia="Times New Roman" w:cstheme="minorHAnsi"/>
          <w:color w:val="19191A"/>
          <w:lang w:eastAsia="it-IT"/>
        </w:rPr>
        <w:br/>
      </w:r>
      <w:r w:rsidRPr="00EC3FDF">
        <w:rPr>
          <w:rFonts w:eastAsia="Times New Roman" w:cstheme="minorHAnsi"/>
          <w:color w:val="19191A"/>
          <w:lang w:eastAsia="it-IT"/>
        </w:rPr>
        <w:lastRenderedPageBreak/>
        <w:t xml:space="preserve">2. Il decreto di cui al comma 1 definisce gli obiettivi e la durata del progetto di intervento educativo, che può prevedere anche lo svolgimento di attività di volontariato sociale. Il progetto di intervento educativo può prevedere altresì la partecipazione a laboratori teatrali, a laboratori di scrittura creativa, a corsi di musica e lo svolgimento di attività sportive, attività artistiche e altre attività idonee a sviluppare </w:t>
      </w:r>
      <w:proofErr w:type="gramStart"/>
      <w:r w:rsidRPr="00EC3FDF">
        <w:rPr>
          <w:rFonts w:eastAsia="Times New Roman" w:cstheme="minorHAnsi"/>
          <w:color w:val="19191A"/>
          <w:lang w:eastAsia="it-IT"/>
        </w:rPr>
        <w:t>nel</w:t>
      </w:r>
      <w:r w:rsidR="00EC3FDF">
        <w:rPr>
          <w:rFonts w:eastAsia="Times New Roman" w:cstheme="minorHAnsi"/>
          <w:color w:val="19191A"/>
          <w:lang w:eastAsia="it-IT"/>
        </w:rPr>
        <w:t xml:space="preserve"> </w:t>
      </w:r>
      <w:r w:rsidRPr="00EC3FDF">
        <w:rPr>
          <w:rFonts w:eastAsia="Times New Roman" w:cstheme="minorHAnsi"/>
          <w:color w:val="19191A"/>
          <w:lang w:eastAsia="it-IT"/>
        </w:rPr>
        <w:t>minore sentimenti</w:t>
      </w:r>
      <w:proofErr w:type="gramEnd"/>
      <w:r w:rsidRPr="00EC3FDF">
        <w:rPr>
          <w:rFonts w:eastAsia="Times New Roman" w:cstheme="minorHAnsi"/>
          <w:color w:val="19191A"/>
          <w:lang w:eastAsia="it-IT"/>
        </w:rPr>
        <w:t xml:space="preserve"> di rispetto nei confronti degli altri e ad alimentare dinamiche relazionali sane e positive tra pari e forme di comunicazione non violente. </w:t>
      </w:r>
      <w:r w:rsidRPr="00EC3FDF">
        <w:rPr>
          <w:rFonts w:eastAsia="Times New Roman" w:cstheme="minorHAnsi"/>
          <w:color w:val="19191A"/>
          <w:lang w:eastAsia="it-IT"/>
        </w:rPr>
        <w:br/>
        <w:t>3. Il competente servizio sociale, coinvolgendo, salvo che ciò sia assolutamente impossibile, i genitori ovvero gli altri esercenti la responsabilità genitoriale, definisce il contenuto del progetto di intervento educativo secondo gli obiettivi individuati nel decreto di cui al comma 1. Esso può prevedere la partecipazione del nucleo familiare mediante un percorso di sostegno all'esercizio della responsabilità genitoriale. </w:t>
      </w:r>
      <w:r w:rsidRPr="00EC3FDF">
        <w:rPr>
          <w:rFonts w:eastAsia="Times New Roman" w:cstheme="minorHAnsi"/>
          <w:color w:val="19191A"/>
          <w:lang w:eastAsia="it-IT"/>
        </w:rPr>
        <w:br/>
        <w:t>4. Almeno dieci giorni prima della conclusione del progetto di intervento educativo, e comunque con cadenza annuale, il servizio sociale trasmette al tribunale per i minorenni una relazione che illustra il percorso e gli esiti dell'intervento. Del deposito della relazione è dato tempestivo avviso ai soggetti, diversi dal minore che non abbia compiuto quattordici anni, di cui al comma 5. Il tribunale per i minorenni, valutate le risultanze attestate nella relazione, con decreto motivato, può, in via alternativa: </w:t>
      </w:r>
      <w:r w:rsidRPr="00EC3FDF">
        <w:rPr>
          <w:rFonts w:eastAsia="Times New Roman" w:cstheme="minorHAnsi"/>
          <w:color w:val="19191A"/>
          <w:lang w:eastAsia="it-IT"/>
        </w:rPr>
        <w:br/>
        <w:t>1) dichiarare concluso il procedimento; </w:t>
      </w:r>
      <w:r w:rsidRPr="00EC3FDF">
        <w:rPr>
          <w:rFonts w:eastAsia="Times New Roman" w:cstheme="minorHAnsi"/>
          <w:color w:val="19191A"/>
          <w:lang w:eastAsia="it-IT"/>
        </w:rPr>
        <w:br/>
        <w:t>2) disporre la continuazione del progetto di intervento educativo o adottare un nuovo progetto rispondente a mutate esigenze educative del minorenne; </w:t>
      </w:r>
      <w:r w:rsidRPr="00EC3FDF">
        <w:rPr>
          <w:rFonts w:eastAsia="Times New Roman" w:cstheme="minorHAnsi"/>
          <w:color w:val="19191A"/>
          <w:lang w:eastAsia="it-IT"/>
        </w:rPr>
        <w:br/>
        <w:t>3) disporre l'affidamento temporaneo del minorenne ai servizi sociali; </w:t>
      </w:r>
      <w:r w:rsidRPr="00EC3FDF">
        <w:rPr>
          <w:rFonts w:eastAsia="Times New Roman" w:cstheme="minorHAnsi"/>
          <w:color w:val="19191A"/>
          <w:lang w:eastAsia="it-IT"/>
        </w:rPr>
        <w:br/>
        <w:t>4) disporre il collocamento temporaneo del minorenne in una comunità, qualora gli interventi previsti dai numeri precedenti appaiano inadeguati. </w:t>
      </w:r>
      <w:r w:rsidRPr="00EC3FDF">
        <w:rPr>
          <w:rFonts w:eastAsia="Times New Roman" w:cstheme="minorHAnsi"/>
          <w:color w:val="19191A"/>
          <w:lang w:eastAsia="it-IT"/>
        </w:rPr>
        <w:br/>
        <w:t>5. Il tribunale, nei casi di cui all'articolo 473-bis.8 del </w:t>
      </w:r>
      <w:hyperlink r:id="rId14" w:tgtFrame="_blank" w:history="1">
        <w:r w:rsidRPr="00EC3FDF">
          <w:rPr>
            <w:rFonts w:eastAsia="Times New Roman" w:cstheme="minorHAnsi"/>
            <w:color w:val="0066CC"/>
            <w:u w:val="single"/>
            <w:lang w:eastAsia="it-IT"/>
          </w:rPr>
          <w:t>codice di procedura civile</w:t>
        </w:r>
      </w:hyperlink>
      <w:r w:rsidRPr="00EC3FDF">
        <w:rPr>
          <w:rFonts w:eastAsia="Times New Roman" w:cstheme="minorHAnsi"/>
          <w:color w:val="19191A"/>
          <w:lang w:eastAsia="it-IT"/>
        </w:rPr>
        <w:t>, nomina al minore un curatore speciale. Si applicano le ulteriori disposizioni dei commi terzo e quarto del medesimo articolo 473-bis.8. I provvedimenti previsti nel presente articolo sono deliberati in camera di consiglio, previo ascolto del minorenne che abbia compiuto gli anni dodici, o anche di età inferiore ove capace di discernimento, e sentiti i genitori ovvero gli altri esercenti la responsabilità genitoriale e il pubblico ministero. Nel procedimento è consentita l'assistenza del difensore.</w:t>
      </w:r>
      <w:r w:rsidRPr="00EC3FDF">
        <w:rPr>
          <w:rFonts w:eastAsia="Times New Roman" w:cstheme="minorHAnsi"/>
          <w:color w:val="19191A"/>
          <w:lang w:eastAsia="it-IT"/>
        </w:rPr>
        <w:br/>
        <w:t>Le spese di affidamento o di collocamento in comunità, da anticiparsi dall'erario, sono a carico dei genitori. In mancanza dei genitori sono tenuti a rimborsare le spese gli esercenti la tutela, quando il patrimonio del minore lo consente»;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b) all'articolo 26, terzo comma, le parole: «di cui all'art. 25, n. 1,» sono sostituite dalle seguenti: «di cui ai commi 1, 2 e 3 dell'articolo 25 o la misura di cui al numero 3) del comma 4 del medesimo articolo 25»;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c) all'articolo 27, primo comma, le parole: «dal n. 1 dell'art. 25» sono sostituite dalle seguenti: «dall'articolo 25, comma 4, numero 3)»;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d) all'articolo 28: </w:t>
      </w:r>
      <w:r w:rsidRPr="00EC3FDF">
        <w:rPr>
          <w:rFonts w:eastAsia="Times New Roman" w:cstheme="minorHAnsi"/>
          <w:color w:val="19191A"/>
          <w:lang w:eastAsia="it-IT"/>
        </w:rPr>
        <w:br/>
        <w:t>1) al primo comma, le parole: «è ricoverato per l'esecuzione di una delle misure previste al n. 2 dell'art. 25» sono sostituite dalle seguenti: «è collocato in esecuzione della misura prevista dall'articolo 25, comma 4, numero 4),»; </w:t>
      </w:r>
      <w:r w:rsidRPr="00EC3FDF">
        <w:rPr>
          <w:rFonts w:eastAsia="Times New Roman" w:cstheme="minorHAnsi"/>
          <w:color w:val="19191A"/>
          <w:lang w:eastAsia="it-IT"/>
        </w:rPr>
        <w:br/>
        <w:t>2) alla rubrica, la parola: «ricoverati» è sostituita dalle seguenti: «collocati presso comunità»;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e) all'articolo 29, terzo comma, le parole: «ad una delle misure di cui al n. 2 dell'art. 25» sono sostituite dalle seguenti: «alla misura prevista dall'articolo 25, comma 4, numero 4),». </w:t>
      </w:r>
    </w:p>
    <w:p w:rsidR="005516EA" w:rsidRPr="00EC3FDF" w:rsidRDefault="005516EA" w:rsidP="005516EA">
      <w:pPr>
        <w:shd w:val="clear" w:color="auto" w:fill="FFFFFF"/>
        <w:rPr>
          <w:rFonts w:eastAsia="Times New Roman" w:cstheme="minorHAnsi"/>
          <w:color w:val="19191A"/>
          <w:lang w:eastAsia="it-IT"/>
        </w:rPr>
      </w:pPr>
      <w:r w:rsidRPr="00EC3FDF">
        <w:rPr>
          <w:rFonts w:eastAsia="Times New Roman" w:cstheme="minorHAnsi"/>
          <w:b/>
          <w:bCs/>
          <w:color w:val="19191A"/>
          <w:lang w:eastAsia="it-IT"/>
        </w:rPr>
        <w:t>2. </w:t>
      </w:r>
      <w:r w:rsidRPr="00EC3FDF">
        <w:rPr>
          <w:rFonts w:eastAsia="Times New Roman" w:cstheme="minorHAnsi"/>
          <w:color w:val="19191A"/>
          <w:lang w:eastAsia="it-IT"/>
        </w:rPr>
        <w:t>All'</w:t>
      </w:r>
      <w:hyperlink r:id="rId15" w:tgtFrame="_blank" w:history="1">
        <w:r w:rsidRPr="00EC3FDF">
          <w:rPr>
            <w:rFonts w:eastAsia="Times New Roman" w:cstheme="minorHAnsi"/>
            <w:color w:val="0066CC"/>
            <w:u w:val="single"/>
            <w:lang w:eastAsia="it-IT"/>
          </w:rPr>
          <w:t>articolo 31, comma 1, lettera f), del decreto legislativo 10 ottobre 2022, n. 149</w:t>
        </w:r>
      </w:hyperlink>
      <w:r w:rsidRPr="00EC3FDF">
        <w:rPr>
          <w:rFonts w:eastAsia="Times New Roman" w:cstheme="minorHAnsi"/>
          <w:color w:val="19191A"/>
          <w:lang w:eastAsia="it-IT"/>
        </w:rPr>
        <w:t xml:space="preserve">, le parole: «all'articolo 25, al primo comma le parole "Tribunale per i minorenni"» sono sostituite dalle seguenti: «all'articolo 25, commi 1 e 4, le parole: "tribunale per i minorenni", ovunque </w:t>
      </w:r>
      <w:r w:rsidRPr="00EC3FDF">
        <w:rPr>
          <w:rFonts w:eastAsia="Times New Roman" w:cstheme="minorHAnsi"/>
          <w:color w:val="19191A"/>
          <w:lang w:eastAsia="it-IT"/>
        </w:rPr>
        <w:lastRenderedPageBreak/>
        <w:t>ricorrono,». </w:t>
      </w:r>
      <w:r w:rsidRPr="00EC3FDF">
        <w:rPr>
          <w:rFonts w:eastAsia="Times New Roman" w:cstheme="minorHAnsi"/>
          <w:color w:val="19191A"/>
          <w:lang w:eastAsia="it-IT"/>
        </w:rPr>
        <w:br/>
      </w:r>
    </w:p>
    <w:p w:rsidR="005516EA" w:rsidRPr="00EC3FDF" w:rsidRDefault="005516EA" w:rsidP="005516EA">
      <w:pPr>
        <w:shd w:val="clear" w:color="auto" w:fill="FFFFFF"/>
        <w:spacing w:after="120"/>
        <w:jc w:val="center"/>
        <w:outlineLvl w:val="1"/>
        <w:rPr>
          <w:rFonts w:eastAsia="Times New Roman" w:cstheme="minorHAnsi"/>
          <w:b/>
          <w:bCs/>
          <w:color w:val="19191A"/>
          <w:lang w:eastAsia="it-IT"/>
        </w:rPr>
      </w:pPr>
      <w:r w:rsidRPr="00EC3FDF">
        <w:rPr>
          <w:rFonts w:eastAsia="Times New Roman" w:cstheme="minorHAnsi"/>
          <w:b/>
          <w:bCs/>
          <w:color w:val="19191A"/>
          <w:lang w:eastAsia="it-IT"/>
        </w:rPr>
        <w:t>Art. 3</w:t>
      </w:r>
    </w:p>
    <w:p w:rsidR="005516EA" w:rsidRPr="00EC3FDF" w:rsidRDefault="005516EA" w:rsidP="005516EA">
      <w:pPr>
        <w:shd w:val="clear" w:color="auto" w:fill="FFFFFF"/>
        <w:jc w:val="center"/>
        <w:rPr>
          <w:rFonts w:eastAsia="Times New Roman" w:cstheme="minorHAnsi"/>
          <w:color w:val="19191A"/>
          <w:lang w:eastAsia="it-IT"/>
        </w:rPr>
      </w:pPr>
      <w:r w:rsidRPr="00EC3FDF">
        <w:rPr>
          <w:rFonts w:eastAsia="Times New Roman" w:cstheme="minorHAnsi"/>
          <w:color w:val="19191A"/>
          <w:lang w:eastAsia="it-IT"/>
        </w:rPr>
        <w:t>Delega al Governo per l'adozione di disposizioni in materia di prevenzione e contrasto del bullismo e del cyberbullismo.</w:t>
      </w:r>
    </w:p>
    <w:p w:rsidR="005516EA" w:rsidRPr="00EC3FDF" w:rsidRDefault="005516EA" w:rsidP="005516EA">
      <w:pPr>
        <w:shd w:val="clear" w:color="auto" w:fill="FFFFFF"/>
        <w:rPr>
          <w:rFonts w:eastAsia="Times New Roman" w:cstheme="minorHAnsi"/>
          <w:color w:val="19191A"/>
          <w:lang w:eastAsia="it-IT"/>
        </w:rPr>
      </w:pPr>
      <w:r w:rsidRPr="00EC3FDF">
        <w:rPr>
          <w:rFonts w:eastAsia="Times New Roman" w:cstheme="minorHAnsi"/>
          <w:b/>
          <w:bCs/>
          <w:color w:val="19191A"/>
          <w:lang w:eastAsia="it-IT"/>
        </w:rPr>
        <w:t>1. </w:t>
      </w:r>
      <w:r w:rsidRPr="00EC3FDF">
        <w:rPr>
          <w:rFonts w:eastAsia="Times New Roman" w:cstheme="minorHAnsi"/>
          <w:color w:val="19191A"/>
          <w:lang w:eastAsia="it-IT"/>
        </w:rPr>
        <w:t>Al fine di prevenire e contrastare i fenomeni del bullismo e del cyberbullismo in tutte le loro manifestazioni, in particolare con azioni di carattere preventivo e con una strategia di attenzione e tutela nei confronti dei minori, vittime o responsabili degli illeciti, il Governo è delegato ad adottare, entro dodici mesi dalla data di entrata in vigore della presente legge, uno o più decreti legislativi nel rispetto dei seguenti principi e criteri direttivi: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a) prevedere il potenziamento del servizio per l'assistenza delle vittime di atti di bullismo e cyberbullismo mediante il numero pubblico «Emergenza infanzia 114», accessibile gratuitamente e attivo nell'intero arco delle ventiquattro ore, con il compito di fornire alle vittime, ovvero alle persone congiunte o legate ad esse da relazione affettiva, un servizio di prima assistenza psicologica e giuridica da parte di personale dotato di adeguate competenze e, nei casi più gravi, informare prontamente l'organo di polizia competente della situazione di pericolo segnalata. Nell'ambito dell'applicazione informatica offerta gratuitamente dal «Servizio 114», prevedere una specifica area dotata di una funzione di geolocalizzazione, attivabile previo consenso dell'utilizzatore, nonché di un servizio di messaggistica istantanea;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b) prevedere che l'Istituto nazionale di statistica svolga, con cadenza biennale, una rilevazione sui fenomeni del bullismo e del cyberbullismo, al fine di misurarne le caratteristiche fondamentali e di individuare i soggetti più esposti al rischio;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c) prevedere che i contratti degli utenti stipulati con i fornitori di servizi di comunicazione e di informazione offerti mediante reti di comunicazione elettronica, previsti dagli </w:t>
      </w:r>
      <w:hyperlink r:id="rId16" w:tgtFrame="_blank" w:history="1">
        <w:r w:rsidRPr="00EC3FDF">
          <w:rPr>
            <w:rFonts w:eastAsia="Times New Roman" w:cstheme="minorHAnsi"/>
            <w:color w:val="0066CC"/>
            <w:u w:val="single"/>
            <w:lang w:eastAsia="it-IT"/>
          </w:rPr>
          <w:t xml:space="preserve">articoli 98-quater </w:t>
        </w:r>
        <w:proofErr w:type="spellStart"/>
        <w:r w:rsidRPr="00EC3FDF">
          <w:rPr>
            <w:rFonts w:eastAsia="Times New Roman" w:cstheme="minorHAnsi"/>
            <w:color w:val="0066CC"/>
            <w:u w:val="single"/>
            <w:lang w:eastAsia="it-IT"/>
          </w:rPr>
          <w:t>decies</w:t>
        </w:r>
        <w:proofErr w:type="spellEnd"/>
      </w:hyperlink>
      <w:r w:rsidRPr="00EC3FDF">
        <w:rPr>
          <w:rFonts w:eastAsia="Times New Roman" w:cstheme="minorHAnsi"/>
          <w:color w:val="19191A"/>
          <w:lang w:eastAsia="it-IT"/>
        </w:rPr>
        <w:t> e </w:t>
      </w:r>
      <w:hyperlink r:id="rId17" w:tgtFrame="_blank" w:history="1">
        <w:r w:rsidRPr="00EC3FDF">
          <w:rPr>
            <w:rFonts w:eastAsia="Times New Roman" w:cstheme="minorHAnsi"/>
            <w:color w:val="0066CC"/>
            <w:u w:val="single"/>
            <w:lang w:eastAsia="it-IT"/>
          </w:rPr>
          <w:t xml:space="preserve">98-septies </w:t>
        </w:r>
        <w:proofErr w:type="spellStart"/>
        <w:r w:rsidRPr="00EC3FDF">
          <w:rPr>
            <w:rFonts w:eastAsia="Times New Roman" w:cstheme="minorHAnsi"/>
            <w:color w:val="0066CC"/>
            <w:u w:val="single"/>
            <w:lang w:eastAsia="it-IT"/>
          </w:rPr>
          <w:t>decies</w:t>
        </w:r>
        <w:proofErr w:type="spellEnd"/>
        <w:r w:rsidRPr="00EC3FDF">
          <w:rPr>
            <w:rFonts w:eastAsia="Times New Roman" w:cstheme="minorHAnsi"/>
            <w:color w:val="0066CC"/>
            <w:u w:val="single"/>
            <w:lang w:eastAsia="it-IT"/>
          </w:rPr>
          <w:t xml:space="preserve"> del codice delle comunicazioni elettroniche</w:t>
        </w:r>
      </w:hyperlink>
      <w:r w:rsidRPr="00EC3FDF">
        <w:rPr>
          <w:rFonts w:eastAsia="Times New Roman" w:cstheme="minorHAnsi"/>
          <w:color w:val="19191A"/>
          <w:lang w:eastAsia="it-IT"/>
        </w:rPr>
        <w:t>, di cui al </w:t>
      </w:r>
      <w:hyperlink r:id="rId18" w:tgtFrame="_blank" w:history="1">
        <w:r w:rsidRPr="00EC3FDF">
          <w:rPr>
            <w:rFonts w:eastAsia="Times New Roman" w:cstheme="minorHAnsi"/>
            <w:color w:val="0066CC"/>
            <w:u w:val="single"/>
            <w:lang w:eastAsia="it-IT"/>
          </w:rPr>
          <w:t>decreto legislativo 1° agosto 2003, n. 259</w:t>
        </w:r>
      </w:hyperlink>
      <w:r w:rsidRPr="00EC3FDF">
        <w:rPr>
          <w:rFonts w:eastAsia="Times New Roman" w:cstheme="minorHAnsi"/>
          <w:color w:val="19191A"/>
          <w:lang w:eastAsia="it-IT"/>
        </w:rPr>
        <w:t>, richiamino espressamente le disposizioni dell'</w:t>
      </w:r>
      <w:hyperlink r:id="rId19" w:tgtFrame="_blank" w:history="1">
        <w:r w:rsidRPr="00EC3FDF">
          <w:rPr>
            <w:rFonts w:eastAsia="Times New Roman" w:cstheme="minorHAnsi"/>
            <w:color w:val="0066CC"/>
            <w:u w:val="single"/>
            <w:lang w:eastAsia="it-IT"/>
          </w:rPr>
          <w:t>articolo 2048 del codice civile</w:t>
        </w:r>
      </w:hyperlink>
      <w:r w:rsidRPr="00EC3FDF">
        <w:rPr>
          <w:rFonts w:eastAsia="Times New Roman" w:cstheme="minorHAnsi"/>
          <w:color w:val="19191A"/>
          <w:lang w:eastAsia="it-IT"/>
        </w:rPr>
        <w:t> in materia di responsabilità dei genitori per i danni cagionati dai figli minori in conseguenza di atti illeciti posti in essere attraverso l'uso della rete nonché le avvertenze a tutela dei minori previste dal </w:t>
      </w:r>
      <w:hyperlink r:id="rId20" w:tgtFrame="_blank" w:history="1">
        <w:r w:rsidRPr="00EC3FDF">
          <w:rPr>
            <w:rFonts w:eastAsia="Times New Roman" w:cstheme="minorHAnsi"/>
            <w:color w:val="0066CC"/>
            <w:u w:val="single"/>
            <w:lang w:eastAsia="it-IT"/>
          </w:rPr>
          <w:t>regolamento (UE) 2022/2065 del Parlamento europeo e del Consiglio, del 19 ottobre 2022</w:t>
        </w:r>
      </w:hyperlink>
      <w:r w:rsidRPr="00EC3FDF">
        <w:rPr>
          <w:rFonts w:eastAsia="Times New Roman" w:cstheme="minorHAnsi"/>
          <w:color w:val="19191A"/>
          <w:lang w:eastAsia="it-IT"/>
        </w:rPr>
        <w:t>;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d) prevedere che la Presidenza del Consiglio dei ministri, nell'ambito delle risorse destinate, nel proprio bilancio autonomo, alle attività di comunicazione istituzionale, promuova periodiche campagne informative di prevenzione e di sensibilizzazione sull'uso consapevole della rete internet e sui suoi rischi, avvalendosi dei principali mezzi di informazione, degli organi di comunicazione e di stampa nonché di soggetti privati. </w:t>
      </w:r>
    </w:p>
    <w:p w:rsidR="005516EA" w:rsidRPr="00EC3FDF" w:rsidRDefault="005516EA" w:rsidP="005516EA">
      <w:pPr>
        <w:shd w:val="clear" w:color="auto" w:fill="FFFFFF"/>
        <w:rPr>
          <w:rFonts w:eastAsia="Times New Roman" w:cstheme="minorHAnsi"/>
          <w:color w:val="19191A"/>
          <w:lang w:eastAsia="it-IT"/>
        </w:rPr>
      </w:pPr>
      <w:r w:rsidRPr="00EC3FDF">
        <w:rPr>
          <w:rFonts w:eastAsia="Times New Roman" w:cstheme="minorHAnsi"/>
          <w:b/>
          <w:bCs/>
          <w:color w:val="19191A"/>
          <w:lang w:eastAsia="it-IT"/>
        </w:rPr>
        <w:t>2. </w:t>
      </w:r>
      <w:r w:rsidRPr="00EC3FDF">
        <w:rPr>
          <w:rFonts w:eastAsia="Times New Roman" w:cstheme="minorHAnsi"/>
          <w:color w:val="19191A"/>
          <w:lang w:eastAsia="it-IT"/>
        </w:rPr>
        <w:t>I decreti legislativi di cui al comma l sono adottati su proposta del Ministro dell'istruzione e del merito, di concerto con il Ministro della giustizia, il Ministro dell'economia e delle finanze e il Ministro per la famiglia, la natalità e le pari opportunità. </w:t>
      </w:r>
      <w:r w:rsidRPr="00EC3FDF">
        <w:rPr>
          <w:rFonts w:eastAsia="Times New Roman" w:cstheme="minorHAnsi"/>
          <w:color w:val="19191A"/>
          <w:lang w:eastAsia="it-IT"/>
        </w:rPr>
        <w:br/>
      </w:r>
    </w:p>
    <w:p w:rsidR="005516EA" w:rsidRPr="00EC3FDF" w:rsidRDefault="005516EA" w:rsidP="005516EA">
      <w:pPr>
        <w:shd w:val="clear" w:color="auto" w:fill="FFFFFF"/>
        <w:rPr>
          <w:rFonts w:eastAsia="Times New Roman" w:cstheme="minorHAnsi"/>
          <w:color w:val="19191A"/>
          <w:lang w:eastAsia="it-IT"/>
        </w:rPr>
      </w:pPr>
      <w:r w:rsidRPr="00EC3FDF">
        <w:rPr>
          <w:rFonts w:eastAsia="Times New Roman" w:cstheme="minorHAnsi"/>
          <w:b/>
          <w:bCs/>
          <w:color w:val="19191A"/>
          <w:lang w:eastAsia="it-IT"/>
        </w:rPr>
        <w:t>3. </w:t>
      </w:r>
      <w:r w:rsidRPr="00EC3FDF">
        <w:rPr>
          <w:rFonts w:eastAsia="Times New Roman" w:cstheme="minorHAnsi"/>
          <w:color w:val="19191A"/>
          <w:lang w:eastAsia="it-IT"/>
        </w:rPr>
        <w:t>Lo schema di ciascun decreto legislativo è trasmesso alle Camere per l'espressione dei pareri delle Commissioni parlamentari competenti per materia e per i profili finanziari, che si pronunciano nel termine di trenta giorni dalla data di trasmissione, decorso il quale il decreto legislativo può essere comunque adottato. </w:t>
      </w:r>
      <w:r w:rsidRPr="00EC3FDF">
        <w:rPr>
          <w:rFonts w:eastAsia="Times New Roman" w:cstheme="minorHAnsi"/>
          <w:color w:val="19191A"/>
          <w:lang w:eastAsia="it-IT"/>
        </w:rPr>
        <w:br/>
      </w:r>
    </w:p>
    <w:p w:rsidR="005516EA" w:rsidRPr="00EC3FDF" w:rsidRDefault="005516EA" w:rsidP="005516EA">
      <w:pPr>
        <w:shd w:val="clear" w:color="auto" w:fill="FFFFFF"/>
        <w:rPr>
          <w:rFonts w:eastAsia="Times New Roman" w:cstheme="minorHAnsi"/>
          <w:color w:val="19191A"/>
          <w:lang w:eastAsia="it-IT"/>
        </w:rPr>
      </w:pPr>
      <w:r w:rsidRPr="00EC3FDF">
        <w:rPr>
          <w:rFonts w:eastAsia="Times New Roman" w:cstheme="minorHAnsi"/>
          <w:b/>
          <w:bCs/>
          <w:color w:val="19191A"/>
          <w:lang w:eastAsia="it-IT"/>
        </w:rPr>
        <w:t>4. </w:t>
      </w:r>
      <w:r w:rsidRPr="00EC3FDF">
        <w:rPr>
          <w:rFonts w:eastAsia="Times New Roman" w:cstheme="minorHAnsi"/>
          <w:color w:val="19191A"/>
          <w:lang w:eastAsia="it-IT"/>
        </w:rPr>
        <w:t>Dall'attuazione della delega di cui al presente articolo non devono derivare nuovi o maggiori oneri a carico della finanza pubblica. Le amministrazioni interessate provvedono ai relativi adempimenti nell'ambito delle risorse umane, strumentali e finanziarie disponibili a legislazione vigente. In attuazione dell'</w:t>
      </w:r>
      <w:hyperlink r:id="rId21" w:tgtFrame="_blank" w:history="1">
        <w:r w:rsidRPr="00EC3FDF">
          <w:rPr>
            <w:rFonts w:eastAsia="Times New Roman" w:cstheme="minorHAnsi"/>
            <w:color w:val="0066CC"/>
            <w:u w:val="single"/>
            <w:lang w:eastAsia="it-IT"/>
          </w:rPr>
          <w:t>articolo 17, comma 2, della legge 31 dicembre 2009, n. 196</w:t>
        </w:r>
      </w:hyperlink>
      <w:r w:rsidRPr="00EC3FDF">
        <w:rPr>
          <w:rFonts w:eastAsia="Times New Roman" w:cstheme="minorHAnsi"/>
          <w:color w:val="19191A"/>
          <w:lang w:eastAsia="it-IT"/>
        </w:rPr>
        <w:t xml:space="preserve">, qualora i </w:t>
      </w:r>
      <w:r w:rsidRPr="00EC3FDF">
        <w:rPr>
          <w:rFonts w:eastAsia="Times New Roman" w:cstheme="minorHAnsi"/>
          <w:color w:val="19191A"/>
          <w:lang w:eastAsia="it-IT"/>
        </w:rPr>
        <w:lastRenderedPageBreak/>
        <w:t>decreti di cui al presente articolo determinino nuovi o maggiori oneri che non trovano compensazione nell'ambito dei medesimi decreti, questi ultimi sono emanati solo successivamente o contestualmente all'entrata in vigore dei provvedimenti legislativi che stanziano le occorrenti risorse. </w:t>
      </w:r>
      <w:r w:rsidRPr="00EC3FDF">
        <w:rPr>
          <w:rFonts w:eastAsia="Times New Roman" w:cstheme="minorHAnsi"/>
          <w:color w:val="19191A"/>
          <w:lang w:eastAsia="it-IT"/>
        </w:rPr>
        <w:br/>
      </w:r>
    </w:p>
    <w:p w:rsidR="005516EA" w:rsidRPr="00EC3FDF" w:rsidRDefault="005516EA" w:rsidP="005516EA">
      <w:pPr>
        <w:shd w:val="clear" w:color="auto" w:fill="FFFFFF"/>
        <w:rPr>
          <w:rFonts w:eastAsia="Times New Roman" w:cstheme="minorHAnsi"/>
          <w:color w:val="19191A"/>
          <w:lang w:eastAsia="it-IT"/>
        </w:rPr>
      </w:pPr>
      <w:r w:rsidRPr="00EC3FDF">
        <w:rPr>
          <w:rFonts w:eastAsia="Times New Roman" w:cstheme="minorHAnsi"/>
          <w:b/>
          <w:bCs/>
          <w:color w:val="19191A"/>
          <w:lang w:eastAsia="it-IT"/>
        </w:rPr>
        <w:t>5. </w:t>
      </w:r>
      <w:r w:rsidRPr="00EC3FDF">
        <w:rPr>
          <w:rFonts w:eastAsia="Times New Roman" w:cstheme="minorHAnsi"/>
          <w:color w:val="19191A"/>
          <w:lang w:eastAsia="it-IT"/>
        </w:rPr>
        <w:t>Entro un anno dalla data di entrata in vigore di ciascuno dei decreti legislativi di cui al comma 1, il Governo può adottare, con la stessa procedura e nel rispetto dei medesimi principi e criteri direttivi di cui al presente articolo, uno o più decreti legislativi recanti disposizioni integrative e correttive. </w:t>
      </w:r>
      <w:r w:rsidRPr="00EC3FDF">
        <w:rPr>
          <w:rFonts w:eastAsia="Times New Roman" w:cstheme="minorHAnsi"/>
          <w:color w:val="19191A"/>
          <w:lang w:eastAsia="it-IT"/>
        </w:rPr>
        <w:br/>
      </w:r>
    </w:p>
    <w:p w:rsidR="005516EA" w:rsidRPr="00EC3FDF" w:rsidRDefault="005516EA" w:rsidP="005516EA">
      <w:pPr>
        <w:shd w:val="clear" w:color="auto" w:fill="FFFFFF"/>
        <w:spacing w:after="120"/>
        <w:jc w:val="center"/>
        <w:outlineLvl w:val="1"/>
        <w:rPr>
          <w:rFonts w:eastAsia="Times New Roman" w:cstheme="minorHAnsi"/>
          <w:b/>
          <w:bCs/>
          <w:color w:val="19191A"/>
          <w:lang w:eastAsia="it-IT"/>
        </w:rPr>
      </w:pPr>
      <w:r w:rsidRPr="00EC3FDF">
        <w:rPr>
          <w:rFonts w:eastAsia="Times New Roman" w:cstheme="minorHAnsi"/>
          <w:b/>
          <w:bCs/>
          <w:color w:val="19191A"/>
          <w:lang w:eastAsia="it-IT"/>
        </w:rPr>
        <w:t>Art. 4</w:t>
      </w:r>
    </w:p>
    <w:p w:rsidR="005516EA" w:rsidRPr="00EC3FDF" w:rsidRDefault="005516EA" w:rsidP="005516EA">
      <w:pPr>
        <w:shd w:val="clear" w:color="auto" w:fill="FFFFFF"/>
        <w:rPr>
          <w:rFonts w:eastAsia="Times New Roman" w:cstheme="minorHAnsi"/>
          <w:color w:val="19191A"/>
          <w:lang w:eastAsia="it-IT"/>
        </w:rPr>
      </w:pPr>
      <w:r w:rsidRPr="00EC3FDF">
        <w:rPr>
          <w:rFonts w:eastAsia="Times New Roman" w:cstheme="minorHAnsi"/>
          <w:color w:val="19191A"/>
          <w:lang w:eastAsia="it-IT"/>
        </w:rPr>
        <w:br/>
      </w:r>
      <w:r w:rsidRPr="00EC3FDF">
        <w:rPr>
          <w:rFonts w:eastAsia="Times New Roman" w:cstheme="minorHAnsi"/>
          <w:color w:val="19191A"/>
          <w:lang w:eastAsia="it-IT"/>
        </w:rPr>
        <w:br/>
        <w:t>Istituzione della «Giornata del rispetto» </w:t>
      </w:r>
      <w:r w:rsidRPr="00EC3FDF">
        <w:rPr>
          <w:rFonts w:eastAsia="Times New Roman" w:cstheme="minorHAnsi"/>
          <w:color w:val="19191A"/>
          <w:lang w:eastAsia="it-IT"/>
        </w:rPr>
        <w:br/>
      </w:r>
    </w:p>
    <w:p w:rsidR="005516EA" w:rsidRPr="00EC3FDF" w:rsidRDefault="005516EA" w:rsidP="005516EA">
      <w:pPr>
        <w:shd w:val="clear" w:color="auto" w:fill="FFFFFF"/>
        <w:rPr>
          <w:rFonts w:eastAsia="Times New Roman" w:cstheme="minorHAnsi"/>
          <w:color w:val="19191A"/>
          <w:lang w:eastAsia="it-IT"/>
        </w:rPr>
      </w:pPr>
      <w:r w:rsidRPr="00EC3FDF">
        <w:rPr>
          <w:rFonts w:eastAsia="Times New Roman" w:cstheme="minorHAnsi"/>
          <w:b/>
          <w:bCs/>
          <w:color w:val="19191A"/>
          <w:lang w:eastAsia="it-IT"/>
        </w:rPr>
        <w:t>1. </w:t>
      </w:r>
      <w:r w:rsidRPr="00EC3FDF">
        <w:rPr>
          <w:rFonts w:eastAsia="Times New Roman" w:cstheme="minorHAnsi"/>
          <w:color w:val="19191A"/>
          <w:lang w:eastAsia="it-IT"/>
        </w:rPr>
        <w:t>Per le finalità di prevenzione di cui alla presente legge è istituita la «Giornata del rispetto», quale momento specifico di approfondimento delle tematiche del rispetto degli altri, della sensibilizzazione sui temi della non violenza psicologica e fisica e del contrasto di ogni forma di discriminazione e prevaricazione. La Giornata ricorre il giorno 20 gennaio. La Giornata non determina riduzione dell'orario di lavoro negli uffici pubblici né, qualora cada nei giorni feriali, costituisce giorno di vacanza o comporta riduzione di orario per le scuole di ogni ordine e grado ai sensi degli </w:t>
      </w:r>
      <w:hyperlink r:id="rId22" w:tgtFrame="_blank" w:history="1">
        <w:r w:rsidRPr="00EC3FDF">
          <w:rPr>
            <w:rFonts w:eastAsia="Times New Roman" w:cstheme="minorHAnsi"/>
            <w:color w:val="0066CC"/>
            <w:u w:val="single"/>
            <w:lang w:eastAsia="it-IT"/>
          </w:rPr>
          <w:t>articoli 2</w:t>
        </w:r>
      </w:hyperlink>
      <w:r w:rsidRPr="00EC3FDF">
        <w:rPr>
          <w:rFonts w:eastAsia="Times New Roman" w:cstheme="minorHAnsi"/>
          <w:color w:val="19191A"/>
          <w:lang w:eastAsia="it-IT"/>
        </w:rPr>
        <w:t> e </w:t>
      </w:r>
      <w:hyperlink r:id="rId23" w:tgtFrame="_blank" w:history="1">
        <w:r w:rsidRPr="00EC3FDF">
          <w:rPr>
            <w:rFonts w:eastAsia="Times New Roman" w:cstheme="minorHAnsi"/>
            <w:color w:val="0066CC"/>
            <w:u w:val="single"/>
            <w:lang w:eastAsia="it-IT"/>
          </w:rPr>
          <w:t>3 della legge 5 marzo 1977, n. 54</w:t>
        </w:r>
      </w:hyperlink>
      <w:r w:rsidRPr="00EC3FDF">
        <w:rPr>
          <w:rFonts w:eastAsia="Times New Roman" w:cstheme="minorHAnsi"/>
          <w:color w:val="19191A"/>
          <w:lang w:eastAsia="it-IT"/>
        </w:rPr>
        <w:t>. Nella settimana che precede la Giornata, le scuole pubbliche e private di ogni ordine e grado, nell'ambito dell'autonomia degli istituti scolastici, possono riservare adeguati spazi per lo svolgimento di attività didattiche volte a sensibilizzare gli alunni sul significato della ricorrenza stessa e delle attività previste dalla presente legge. Il Governo determina le modalità di svolgimento della Giornata senza nuovi o maggiori oneri a carico della finanza pubblica. </w:t>
      </w:r>
      <w:r w:rsidRPr="00EC3FDF">
        <w:rPr>
          <w:rFonts w:eastAsia="Times New Roman" w:cstheme="minorHAnsi"/>
          <w:color w:val="19191A"/>
          <w:lang w:eastAsia="it-IT"/>
        </w:rPr>
        <w:br/>
      </w:r>
    </w:p>
    <w:p w:rsidR="005516EA" w:rsidRPr="00EC3FDF" w:rsidRDefault="005516EA" w:rsidP="005516EA">
      <w:pPr>
        <w:shd w:val="clear" w:color="auto" w:fill="FFFFFF"/>
        <w:spacing w:after="120"/>
        <w:jc w:val="center"/>
        <w:outlineLvl w:val="1"/>
        <w:rPr>
          <w:rFonts w:eastAsia="Times New Roman" w:cstheme="minorHAnsi"/>
          <w:b/>
          <w:bCs/>
          <w:color w:val="19191A"/>
          <w:lang w:eastAsia="it-IT"/>
        </w:rPr>
      </w:pPr>
      <w:r w:rsidRPr="00EC3FDF">
        <w:rPr>
          <w:rFonts w:eastAsia="Times New Roman" w:cstheme="minorHAnsi"/>
          <w:b/>
          <w:bCs/>
          <w:color w:val="19191A"/>
          <w:lang w:eastAsia="it-IT"/>
        </w:rPr>
        <w:t>Art. 5</w:t>
      </w:r>
    </w:p>
    <w:p w:rsidR="005516EA" w:rsidRPr="00EC3FDF" w:rsidRDefault="005516EA" w:rsidP="005516EA">
      <w:pPr>
        <w:shd w:val="clear" w:color="auto" w:fill="FFFFFF"/>
        <w:jc w:val="center"/>
        <w:rPr>
          <w:rFonts w:eastAsia="Times New Roman" w:cstheme="minorHAnsi"/>
          <w:color w:val="19191A"/>
          <w:lang w:eastAsia="it-IT"/>
        </w:rPr>
      </w:pPr>
      <w:r w:rsidRPr="00EC3FDF">
        <w:rPr>
          <w:rFonts w:eastAsia="Times New Roman" w:cstheme="minorHAnsi"/>
          <w:color w:val="19191A"/>
          <w:lang w:eastAsia="it-IT"/>
        </w:rPr>
        <w:t>Adeguamento del regolamento di cui al decreto del </w:t>
      </w:r>
      <w:r w:rsidRPr="00EC3FDF">
        <w:rPr>
          <w:rFonts w:eastAsia="Times New Roman" w:cstheme="minorHAnsi"/>
          <w:color w:val="19191A"/>
          <w:lang w:eastAsia="it-IT"/>
        </w:rPr>
        <w:br/>
      </w:r>
      <w:hyperlink r:id="rId24" w:tgtFrame="_blank" w:history="1">
        <w:r w:rsidRPr="00EC3FDF">
          <w:rPr>
            <w:rFonts w:eastAsia="Times New Roman" w:cstheme="minorHAnsi"/>
            <w:color w:val="0066CC"/>
            <w:u w:val="single"/>
            <w:lang w:eastAsia="it-IT"/>
          </w:rPr>
          <w:t>Presidente della Repubblica 24 giugno 1998, n. 249</w:t>
        </w:r>
      </w:hyperlink>
    </w:p>
    <w:p w:rsidR="005516EA" w:rsidRPr="00EC3FDF" w:rsidRDefault="00000000" w:rsidP="005516EA">
      <w:pPr>
        <w:shd w:val="clear" w:color="auto" w:fill="FFFFFF"/>
        <w:rPr>
          <w:rFonts w:eastAsia="Times New Roman" w:cstheme="minorHAnsi"/>
          <w:color w:val="19191A"/>
          <w:lang w:eastAsia="it-IT"/>
        </w:rPr>
      </w:pPr>
      <w:hyperlink r:id="rId25" w:tgtFrame="_blank" w:history="1">
        <w:r w:rsidR="005516EA" w:rsidRPr="00EC3FDF">
          <w:rPr>
            <w:rFonts w:eastAsia="Times New Roman" w:cstheme="minorHAnsi"/>
            <w:b/>
            <w:bCs/>
            <w:color w:val="0066CC"/>
            <w:u w:val="single"/>
            <w:lang w:eastAsia="it-IT"/>
          </w:rPr>
          <w:t>1</w:t>
        </w:r>
      </w:hyperlink>
      <w:r w:rsidR="005516EA" w:rsidRPr="00EC3FDF">
        <w:rPr>
          <w:rFonts w:eastAsia="Times New Roman" w:cstheme="minorHAnsi"/>
          <w:color w:val="19191A"/>
          <w:lang w:eastAsia="it-IT"/>
        </w:rPr>
        <w:t>. Con regolamento adottato ai sensi dell'</w:t>
      </w:r>
      <w:hyperlink r:id="rId26" w:tgtFrame="_blank" w:history="1">
        <w:r w:rsidR="005516EA" w:rsidRPr="00EC3FDF">
          <w:rPr>
            <w:rFonts w:eastAsia="Times New Roman" w:cstheme="minorHAnsi"/>
            <w:color w:val="0066CC"/>
            <w:u w:val="single"/>
            <w:lang w:eastAsia="it-IT"/>
          </w:rPr>
          <w:t>articolo 17, comma 1, della legge 23 agosto 1988, n. 400</w:t>
        </w:r>
      </w:hyperlink>
      <w:r w:rsidR="005516EA" w:rsidRPr="00EC3FDF">
        <w:rPr>
          <w:rFonts w:eastAsia="Times New Roman" w:cstheme="minorHAnsi"/>
          <w:color w:val="19191A"/>
          <w:lang w:eastAsia="it-IT"/>
        </w:rPr>
        <w:t>, sono apportate al regolamento di cui al </w:t>
      </w:r>
      <w:hyperlink r:id="rId27" w:tgtFrame="_blank" w:history="1">
        <w:r w:rsidR="005516EA" w:rsidRPr="00EC3FDF">
          <w:rPr>
            <w:rFonts w:eastAsia="Times New Roman" w:cstheme="minorHAnsi"/>
            <w:color w:val="0066CC"/>
            <w:u w:val="single"/>
            <w:lang w:eastAsia="it-IT"/>
          </w:rPr>
          <w:t>decreto del Presidente della Repubblica 24 giugno 1998, n. 249</w:t>
        </w:r>
      </w:hyperlink>
      <w:r w:rsidR="005516EA" w:rsidRPr="00EC3FDF">
        <w:rPr>
          <w:rFonts w:eastAsia="Times New Roman" w:cstheme="minorHAnsi"/>
          <w:color w:val="19191A"/>
          <w:lang w:eastAsia="it-IT"/>
        </w:rPr>
        <w:t>, le modificazioni necessarie per adeguarlo ai seguenti principi: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a) prevedere, nell'ambito dei diritti e doveri dello studente enunciati agli articoli 2 e 3 del citato regolamento di cui al </w:t>
      </w:r>
      <w:hyperlink r:id="rId28" w:tgtFrame="_blank" w:history="1">
        <w:r w:rsidRPr="00EC3FDF">
          <w:rPr>
            <w:rFonts w:eastAsia="Times New Roman" w:cstheme="minorHAnsi"/>
            <w:color w:val="0066CC"/>
            <w:u w:val="single"/>
            <w:lang w:eastAsia="it-IT"/>
          </w:rPr>
          <w:t>decreto del Presidente della Repubblica n. 249 del 1998</w:t>
        </w:r>
      </w:hyperlink>
      <w:r w:rsidRPr="00EC3FDF">
        <w:rPr>
          <w:rFonts w:eastAsia="Times New Roman" w:cstheme="minorHAnsi"/>
          <w:color w:val="19191A"/>
          <w:lang w:eastAsia="it-IT"/>
        </w:rPr>
        <w:t>, che la scuola si impegni a porre progressivamente in essere le condizioni per assicurare l'emersione di episodi riconducibili ai fenomeni del bullismo e del cyberbullismo, di situazioni di uso o abuso di alcool o di sostanze stupefacenti e di forme di dipendenza; </w:t>
      </w:r>
    </w:p>
    <w:p w:rsidR="005516EA" w:rsidRPr="00EC3FDF" w:rsidRDefault="005516EA" w:rsidP="005516EA">
      <w:pPr>
        <w:shd w:val="clear" w:color="auto" w:fill="FFFFFF"/>
        <w:ind w:firstLine="150"/>
        <w:rPr>
          <w:rFonts w:eastAsia="Times New Roman" w:cstheme="minorHAnsi"/>
          <w:color w:val="19191A"/>
          <w:lang w:eastAsia="it-IT"/>
        </w:rPr>
      </w:pPr>
      <w:r w:rsidRPr="00EC3FDF">
        <w:rPr>
          <w:rFonts w:eastAsia="Times New Roman" w:cstheme="minorHAnsi"/>
          <w:color w:val="19191A"/>
          <w:lang w:eastAsia="it-IT"/>
        </w:rPr>
        <w:t>b) integrare la disciplina relativa al Patto educativo di corresponsabilità, di cui all'articolo 5-bis del citato regolamento di cui al </w:t>
      </w:r>
      <w:hyperlink r:id="rId29" w:tgtFrame="_blank" w:history="1">
        <w:r w:rsidRPr="00EC3FDF">
          <w:rPr>
            <w:rFonts w:eastAsia="Times New Roman" w:cstheme="minorHAnsi"/>
            <w:color w:val="0066CC"/>
            <w:u w:val="single"/>
            <w:lang w:eastAsia="it-IT"/>
          </w:rPr>
          <w:t>decreto del Presidente della Repubblica n. 249 del 1998</w:t>
        </w:r>
      </w:hyperlink>
      <w:r w:rsidRPr="00EC3FDF">
        <w:rPr>
          <w:rFonts w:eastAsia="Times New Roman" w:cstheme="minorHAnsi"/>
          <w:color w:val="19191A"/>
          <w:lang w:eastAsia="it-IT"/>
        </w:rPr>
        <w:t xml:space="preserve">, prevedendo che nel Patto siano espressamente indicate tutte le attività di formazione, curriculari ed extracurriculari, che la scuola o i docenti della classe intendono organizzare a favore degli studenti e delle loro famiglie, con particolare riferimento all'uso della rete internet e delle comunità virtuali, e sia altresì previsto l'impegno, da parte delle famiglie e dell'istituto scolastico, a collaborare per consentire l'emersione di episodi riconducibili ai fenomeni del bullismo e del </w:t>
      </w:r>
      <w:r w:rsidRPr="00EC3FDF">
        <w:rPr>
          <w:rFonts w:eastAsia="Times New Roman" w:cstheme="minorHAnsi"/>
          <w:color w:val="19191A"/>
          <w:lang w:eastAsia="it-IT"/>
        </w:rPr>
        <w:lastRenderedPageBreak/>
        <w:t>cyberbullismo, di situazioni di uso o abuso di alcool o di sostanze stupefacenti e di forme di dipendenza, dei quali i genitori o gli operatori scolastici dovessero avere notizia. </w:t>
      </w:r>
    </w:p>
    <w:p w:rsidR="005516EA" w:rsidRPr="00EC3FDF" w:rsidRDefault="005516EA" w:rsidP="005516EA">
      <w:pPr>
        <w:shd w:val="clear" w:color="auto" w:fill="FFFFFF"/>
        <w:spacing w:after="120"/>
        <w:jc w:val="center"/>
        <w:outlineLvl w:val="1"/>
        <w:rPr>
          <w:rFonts w:eastAsia="Times New Roman" w:cstheme="minorHAnsi"/>
          <w:b/>
          <w:bCs/>
          <w:color w:val="19191A"/>
          <w:lang w:eastAsia="it-IT"/>
        </w:rPr>
      </w:pPr>
      <w:r w:rsidRPr="00EC3FDF">
        <w:rPr>
          <w:rFonts w:eastAsia="Times New Roman" w:cstheme="minorHAnsi"/>
          <w:b/>
          <w:bCs/>
          <w:color w:val="19191A"/>
          <w:lang w:eastAsia="it-IT"/>
        </w:rPr>
        <w:t>Art. 6</w:t>
      </w:r>
    </w:p>
    <w:p w:rsidR="005516EA" w:rsidRPr="00EC3FDF" w:rsidRDefault="005516EA" w:rsidP="005516EA">
      <w:pPr>
        <w:shd w:val="clear" w:color="auto" w:fill="FFFFFF"/>
        <w:jc w:val="center"/>
        <w:rPr>
          <w:rFonts w:eastAsia="Times New Roman" w:cstheme="minorHAnsi"/>
          <w:color w:val="19191A"/>
          <w:lang w:eastAsia="it-IT"/>
        </w:rPr>
      </w:pPr>
      <w:r w:rsidRPr="00EC3FDF">
        <w:rPr>
          <w:rFonts w:eastAsia="Times New Roman" w:cstheme="minorHAnsi"/>
          <w:color w:val="19191A"/>
          <w:lang w:eastAsia="it-IT"/>
        </w:rPr>
        <w:t>Clausola di invarianza finanziaria</w:t>
      </w:r>
    </w:p>
    <w:p w:rsidR="005516EA" w:rsidRPr="00EC3FDF" w:rsidRDefault="005516EA" w:rsidP="005516EA">
      <w:pPr>
        <w:shd w:val="clear" w:color="auto" w:fill="FFFFFF"/>
        <w:rPr>
          <w:rFonts w:eastAsia="Times New Roman" w:cstheme="minorHAnsi"/>
          <w:color w:val="19191A"/>
          <w:lang w:eastAsia="it-IT"/>
        </w:rPr>
      </w:pPr>
      <w:r w:rsidRPr="00EC3FDF">
        <w:rPr>
          <w:rFonts w:eastAsia="Times New Roman" w:cstheme="minorHAnsi"/>
          <w:b/>
          <w:bCs/>
          <w:color w:val="19191A"/>
          <w:lang w:eastAsia="it-IT"/>
        </w:rPr>
        <w:t>1. </w:t>
      </w:r>
      <w:r w:rsidRPr="00EC3FDF">
        <w:rPr>
          <w:rFonts w:eastAsia="Times New Roman" w:cstheme="minorHAnsi"/>
          <w:color w:val="19191A"/>
          <w:lang w:eastAsia="it-IT"/>
        </w:rPr>
        <w:t>Fermo restando quanto previsto dall'articolo 3, comma 4, le amministrazioni interessate provvedono agli adempimenti di cui alla presente legge nell'ambito delle risorse umane, finanziarie e strumentali disponibili a legislazione vigente e, comunque, senza nuovi o maggiori oneri a carico della finanza pubblica, salvo quanto previsto dall'articolo 1, comma 1, lettera b), numero 5). </w:t>
      </w:r>
      <w:r w:rsidRPr="00EC3FDF">
        <w:rPr>
          <w:rFonts w:eastAsia="Times New Roman" w:cstheme="minorHAnsi"/>
          <w:color w:val="19191A"/>
          <w:lang w:eastAsia="it-IT"/>
        </w:rPr>
        <w:br/>
      </w:r>
    </w:p>
    <w:p w:rsidR="005516EA" w:rsidRPr="00EC3FDF" w:rsidRDefault="005516EA" w:rsidP="005516EA">
      <w:pPr>
        <w:shd w:val="clear" w:color="auto" w:fill="FFFFFF"/>
        <w:spacing w:after="120"/>
        <w:outlineLvl w:val="1"/>
        <w:rPr>
          <w:rFonts w:eastAsia="Times New Roman" w:cstheme="minorHAnsi"/>
          <w:color w:val="19191A"/>
          <w:lang w:eastAsia="it-IT"/>
        </w:rPr>
      </w:pPr>
      <w:r w:rsidRPr="00EC3FDF">
        <w:rPr>
          <w:rFonts w:eastAsia="Times New Roman" w:cstheme="minorHAnsi"/>
          <w:color w:val="19191A"/>
          <w:lang w:eastAsia="it-IT"/>
        </w:rPr>
        <w:t>La presente legge, munita del sigillo dello Stato, sarà inserita nella Raccolta ufficiale degli atti normativi della Repubblica italiana. È fatto obbligo a chiunque spetti di osservarla e di farla osservare come legge dello Stato. </w:t>
      </w:r>
    </w:p>
    <w:p w:rsidR="005516EA" w:rsidRPr="00EC3FDF" w:rsidRDefault="005516EA" w:rsidP="005516EA">
      <w:pPr>
        <w:shd w:val="clear" w:color="auto" w:fill="FFFFFF"/>
        <w:spacing w:after="120"/>
        <w:outlineLvl w:val="2"/>
        <w:rPr>
          <w:rFonts w:eastAsia="Times New Roman" w:cstheme="minorHAnsi"/>
          <w:color w:val="19191A"/>
          <w:lang w:eastAsia="it-IT"/>
        </w:rPr>
      </w:pPr>
      <w:r w:rsidRPr="00EC3FDF">
        <w:rPr>
          <w:rFonts w:eastAsia="Times New Roman" w:cstheme="minorHAnsi"/>
          <w:color w:val="19191A"/>
          <w:lang w:eastAsia="it-IT"/>
        </w:rPr>
        <w:t>Data a Roma, addì 17 maggio 2024 </w:t>
      </w:r>
    </w:p>
    <w:p w:rsidR="005516EA" w:rsidRPr="00EC3FDF" w:rsidRDefault="005516EA" w:rsidP="005516EA">
      <w:pPr>
        <w:shd w:val="clear" w:color="auto" w:fill="FFFFFF"/>
        <w:spacing w:after="100" w:afterAutospacing="1"/>
        <w:jc w:val="right"/>
        <w:rPr>
          <w:rFonts w:eastAsia="Times New Roman" w:cstheme="minorHAnsi"/>
          <w:color w:val="19191A"/>
          <w:lang w:eastAsia="it-IT"/>
        </w:rPr>
      </w:pPr>
      <w:r w:rsidRPr="00EC3FDF">
        <w:rPr>
          <w:rFonts w:eastAsia="Times New Roman" w:cstheme="minorHAnsi"/>
          <w:color w:val="19191A"/>
          <w:lang w:eastAsia="it-IT"/>
        </w:rPr>
        <w:t>MATTARELLA</w:t>
      </w:r>
    </w:p>
    <w:p w:rsidR="005516EA" w:rsidRPr="00EC3FDF" w:rsidRDefault="005516EA" w:rsidP="005516EA">
      <w:pPr>
        <w:shd w:val="clear" w:color="auto" w:fill="FFFFFF"/>
        <w:spacing w:after="100" w:afterAutospacing="1"/>
        <w:jc w:val="right"/>
        <w:rPr>
          <w:rFonts w:eastAsia="Times New Roman" w:cstheme="minorHAnsi"/>
          <w:color w:val="19191A"/>
          <w:lang w:eastAsia="it-IT"/>
        </w:rPr>
      </w:pPr>
      <w:r w:rsidRPr="00EC3FDF">
        <w:rPr>
          <w:rFonts w:eastAsia="Times New Roman" w:cstheme="minorHAnsi"/>
          <w:color w:val="19191A"/>
          <w:lang w:eastAsia="it-IT"/>
        </w:rPr>
        <w:t>Meloni, Presidente del Consiglio dei ministri</w:t>
      </w:r>
    </w:p>
    <w:p w:rsidR="005516EA" w:rsidRPr="00EC3FDF" w:rsidRDefault="005516EA" w:rsidP="005516EA">
      <w:pPr>
        <w:shd w:val="clear" w:color="auto" w:fill="FFFFFF"/>
        <w:spacing w:after="100" w:afterAutospacing="1"/>
        <w:rPr>
          <w:rFonts w:eastAsia="Times New Roman" w:cstheme="minorHAnsi"/>
          <w:color w:val="19191A"/>
          <w:lang w:eastAsia="it-IT"/>
        </w:rPr>
      </w:pPr>
      <w:r w:rsidRPr="00EC3FDF">
        <w:rPr>
          <w:rFonts w:eastAsia="Times New Roman" w:cstheme="minorHAnsi"/>
          <w:color w:val="19191A"/>
          <w:lang w:eastAsia="it-IT"/>
        </w:rPr>
        <w:t>Visto, il Guardasigilli: Nordio</w:t>
      </w:r>
    </w:p>
    <w:p w:rsidR="00EC3FDF" w:rsidRDefault="00EC3FDF" w:rsidP="005516EA">
      <w:pPr>
        <w:shd w:val="clear" w:color="auto" w:fill="FFFFFF"/>
        <w:spacing w:after="100" w:afterAutospacing="1"/>
        <w:rPr>
          <w:rFonts w:ascii="Titillium Web" w:eastAsia="Times New Roman" w:hAnsi="Titillium Web" w:cs="Times New Roman"/>
          <w:color w:val="19191A"/>
          <w:sz w:val="27"/>
          <w:szCs w:val="27"/>
          <w:lang w:eastAsia="it-IT"/>
        </w:rPr>
      </w:pPr>
    </w:p>
    <w:p w:rsidR="00EC3FDF" w:rsidRPr="00EC3FDF" w:rsidRDefault="00EC3FDF" w:rsidP="00EC3FDF">
      <w:pPr>
        <w:shd w:val="clear" w:color="auto" w:fill="FFFFFF"/>
        <w:spacing w:after="100" w:afterAutospacing="1"/>
        <w:rPr>
          <w:rFonts w:cstheme="minorHAnsi"/>
          <w:color w:val="990000"/>
          <w:shd w:val="clear" w:color="auto" w:fill="FFFFFF"/>
        </w:rPr>
      </w:pPr>
      <w:r w:rsidRPr="00EC3FDF">
        <w:rPr>
          <w:rFonts w:cstheme="minorHAnsi"/>
          <w:color w:val="990000"/>
          <w:shd w:val="clear" w:color="auto" w:fill="FFFFFF"/>
        </w:rPr>
        <w:t>N O T E</w:t>
      </w:r>
      <w:r w:rsidRPr="00EC3FDF">
        <w:rPr>
          <w:rStyle w:val="apple-converted-space"/>
          <w:rFonts w:cstheme="minorHAnsi"/>
          <w:color w:val="990000"/>
          <w:shd w:val="clear" w:color="auto" w:fill="FFFFFF"/>
        </w:rPr>
        <w:t> </w:t>
      </w:r>
      <w:r w:rsidRPr="00EC3FDF">
        <w:rPr>
          <w:rFonts w:cstheme="minorHAnsi"/>
          <w:color w:val="990000"/>
        </w:rPr>
        <w:br/>
      </w:r>
      <w:r w:rsidRPr="00EC3FDF">
        <w:rPr>
          <w:rFonts w:cstheme="minorHAnsi"/>
          <w:color w:val="990000"/>
        </w:rPr>
        <w:br/>
      </w:r>
      <w:r w:rsidRPr="00EC3FDF">
        <w:rPr>
          <w:rFonts w:cstheme="minorHAnsi"/>
          <w:color w:val="990000"/>
          <w:shd w:val="clear" w:color="auto" w:fill="FFFFFF"/>
        </w:rPr>
        <w:t>Avvertenza:</w:t>
      </w:r>
      <w:r w:rsidRPr="00EC3FDF">
        <w:rPr>
          <w:rStyle w:val="apple-converted-space"/>
          <w:rFonts w:cstheme="minorHAnsi"/>
          <w:color w:val="990000"/>
          <w:shd w:val="clear" w:color="auto" w:fill="FFFFFF"/>
        </w:rPr>
        <w:t> </w:t>
      </w:r>
      <w:r w:rsidRPr="00EC3FDF">
        <w:rPr>
          <w:rFonts w:cstheme="minorHAnsi"/>
          <w:color w:val="990000"/>
        </w:rPr>
        <w:br/>
      </w:r>
      <w:r w:rsidRPr="00EC3FDF">
        <w:rPr>
          <w:rFonts w:cstheme="minorHAnsi"/>
          <w:shd w:val="clear" w:color="auto" w:fill="FFFFFF"/>
        </w:rPr>
        <w:t>Il testo delle note qui pubblicato è stato redatto dall'amministrazione competente per materia, ai sensi dell'art. 10, commi 2 e 3, del testo unico delle disposizioni sulla promulgazione delle leggi, sull'emanazione dei decreti del Presidente della Repubblica e sulle pubblicazioni ufficiali della Repubblica italiana, approvato con</w:t>
      </w:r>
      <w:r w:rsidRPr="00EC3FDF">
        <w:rPr>
          <w:rStyle w:val="apple-converted-space"/>
          <w:rFonts w:cstheme="minorHAnsi"/>
          <w:shd w:val="clear" w:color="auto" w:fill="FFFFFF"/>
        </w:rPr>
        <w:t> </w:t>
      </w:r>
      <w:hyperlink r:id="rId30" w:tgtFrame="_blank" w:history="1">
        <w:r w:rsidRPr="00EC3FDF">
          <w:rPr>
            <w:rStyle w:val="Collegamentoipertestuale"/>
            <w:rFonts w:cstheme="minorHAnsi"/>
            <w:color w:val="auto"/>
          </w:rPr>
          <w:t>D.P.R. 28 dicembre 1985, n. 1092</w:t>
        </w:r>
      </w:hyperlink>
      <w:r w:rsidRPr="00EC3FDF">
        <w:rPr>
          <w:rFonts w:cstheme="minorHAnsi"/>
          <w:shd w:val="clear" w:color="auto" w:fill="FFFFFF"/>
        </w:rPr>
        <w:t>, al solo fine di facilitare la lettura delle disposizioni di legge modificate o alle quali è operato il rinvio. Restano invariati il valore e l'efficacia degli atti legislativi qui trascritti.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Per le direttive CEE vengono forniti gli estremi di pubblicazione nella Gazzetta Ufficiale delle Comunità europee (GUUE).</w:t>
      </w:r>
      <w:r w:rsidRPr="00EC3FDF">
        <w:rPr>
          <w:rStyle w:val="apple-converted-space"/>
          <w:rFonts w:cstheme="minorHAnsi"/>
          <w:shd w:val="clear" w:color="auto" w:fill="FFFFFF"/>
        </w:rPr>
        <w:t> </w:t>
      </w:r>
      <w:r w:rsidRPr="00EC3FDF">
        <w:rPr>
          <w:rFonts w:cstheme="minorHAnsi"/>
          <w:color w:val="990000"/>
        </w:rPr>
        <w:br/>
      </w:r>
      <w:r w:rsidRPr="00EC3FDF">
        <w:rPr>
          <w:rFonts w:cstheme="minorHAnsi"/>
          <w:color w:val="990000"/>
        </w:rPr>
        <w:br/>
      </w:r>
      <w:r w:rsidRPr="00EC3FDF">
        <w:rPr>
          <w:rFonts w:cstheme="minorHAnsi"/>
          <w:color w:val="990000"/>
          <w:shd w:val="clear" w:color="auto" w:fill="FFFFFF"/>
        </w:rPr>
        <w:t>Note all'art. 1:</w:t>
      </w:r>
      <w:r w:rsidRPr="00EC3FDF">
        <w:rPr>
          <w:rStyle w:val="apple-converted-space"/>
          <w:rFonts w:cstheme="minorHAnsi"/>
          <w:color w:val="990000"/>
          <w:shd w:val="clear" w:color="auto" w:fill="FFFFFF"/>
        </w:rPr>
        <w:t> </w:t>
      </w:r>
      <w:r w:rsidRPr="00EC3FDF">
        <w:rPr>
          <w:rFonts w:cstheme="minorHAnsi"/>
          <w:color w:val="990000"/>
        </w:rPr>
        <w:br/>
      </w:r>
      <w:r w:rsidRPr="00EC3FDF">
        <w:rPr>
          <w:rFonts w:cstheme="minorHAnsi"/>
          <w:shd w:val="clear" w:color="auto" w:fill="FFFFFF"/>
        </w:rPr>
        <w:t>- Si riporta il testo degli</w:t>
      </w:r>
      <w:r w:rsidRPr="00EC3FDF">
        <w:rPr>
          <w:rStyle w:val="apple-converted-space"/>
          <w:rFonts w:cstheme="minorHAnsi"/>
          <w:shd w:val="clear" w:color="auto" w:fill="FFFFFF"/>
        </w:rPr>
        <w:t> </w:t>
      </w:r>
      <w:hyperlink r:id="rId31" w:tgtFrame="_blank" w:history="1">
        <w:r w:rsidRPr="00EC3FDF">
          <w:rPr>
            <w:rStyle w:val="Collegamentoipertestuale"/>
            <w:rFonts w:cstheme="minorHAnsi"/>
            <w:color w:val="auto"/>
          </w:rPr>
          <w:t>articoli 1</w:t>
        </w:r>
      </w:hyperlink>
      <w:r w:rsidRPr="00EC3FDF">
        <w:rPr>
          <w:rFonts w:cstheme="minorHAnsi"/>
          <w:shd w:val="clear" w:color="auto" w:fill="FFFFFF"/>
        </w:rPr>
        <w:t>,</w:t>
      </w:r>
      <w:r w:rsidRPr="00EC3FDF">
        <w:rPr>
          <w:rStyle w:val="apple-converted-space"/>
          <w:rFonts w:cstheme="minorHAnsi"/>
          <w:shd w:val="clear" w:color="auto" w:fill="FFFFFF"/>
        </w:rPr>
        <w:t> </w:t>
      </w:r>
      <w:hyperlink r:id="rId32" w:tgtFrame="_blank" w:history="1">
        <w:r w:rsidRPr="00EC3FDF">
          <w:rPr>
            <w:rStyle w:val="Collegamentoipertestuale"/>
            <w:rFonts w:cstheme="minorHAnsi"/>
            <w:color w:val="auto"/>
          </w:rPr>
          <w:t>3</w:t>
        </w:r>
      </w:hyperlink>
      <w:r w:rsidRPr="00EC3FDF">
        <w:rPr>
          <w:rFonts w:cstheme="minorHAnsi"/>
          <w:shd w:val="clear" w:color="auto" w:fill="FFFFFF"/>
        </w:rPr>
        <w:t>,</w:t>
      </w:r>
      <w:r w:rsidRPr="00EC3FDF">
        <w:rPr>
          <w:rStyle w:val="apple-converted-space"/>
          <w:rFonts w:cstheme="minorHAnsi"/>
          <w:shd w:val="clear" w:color="auto" w:fill="FFFFFF"/>
        </w:rPr>
        <w:t> </w:t>
      </w:r>
      <w:hyperlink r:id="rId33" w:tgtFrame="_blank" w:history="1">
        <w:r w:rsidRPr="00EC3FDF">
          <w:rPr>
            <w:rStyle w:val="Collegamentoipertestuale"/>
            <w:rFonts w:cstheme="minorHAnsi"/>
            <w:color w:val="auto"/>
          </w:rPr>
          <w:t>4</w:t>
        </w:r>
      </w:hyperlink>
      <w:r w:rsidRPr="00EC3FDF">
        <w:rPr>
          <w:rFonts w:cstheme="minorHAnsi"/>
          <w:shd w:val="clear" w:color="auto" w:fill="FFFFFF"/>
        </w:rPr>
        <w:t>,</w:t>
      </w:r>
      <w:r w:rsidRPr="00EC3FDF">
        <w:rPr>
          <w:rStyle w:val="apple-converted-space"/>
          <w:rFonts w:cstheme="minorHAnsi"/>
          <w:shd w:val="clear" w:color="auto" w:fill="FFFFFF"/>
        </w:rPr>
        <w:t> </w:t>
      </w:r>
      <w:hyperlink r:id="rId34" w:tgtFrame="_blank" w:history="1">
        <w:r w:rsidRPr="00EC3FDF">
          <w:rPr>
            <w:rStyle w:val="Collegamentoipertestuale"/>
            <w:rFonts w:cstheme="minorHAnsi"/>
            <w:color w:val="auto"/>
          </w:rPr>
          <w:t>5</w:t>
        </w:r>
      </w:hyperlink>
      <w:r w:rsidRPr="00EC3FDF">
        <w:rPr>
          <w:rStyle w:val="apple-converted-space"/>
          <w:rFonts w:cstheme="minorHAnsi"/>
          <w:shd w:val="clear" w:color="auto" w:fill="FFFFFF"/>
        </w:rPr>
        <w:t> </w:t>
      </w:r>
      <w:r w:rsidRPr="00EC3FDF">
        <w:rPr>
          <w:rFonts w:cstheme="minorHAnsi"/>
          <w:shd w:val="clear" w:color="auto" w:fill="FFFFFF"/>
        </w:rPr>
        <w:t>e</w:t>
      </w:r>
      <w:r w:rsidRPr="00EC3FDF">
        <w:rPr>
          <w:rStyle w:val="apple-converted-space"/>
          <w:rFonts w:cstheme="minorHAnsi"/>
          <w:shd w:val="clear" w:color="auto" w:fill="FFFFFF"/>
        </w:rPr>
        <w:t> </w:t>
      </w:r>
      <w:hyperlink r:id="rId35" w:tgtFrame="_blank" w:history="1">
        <w:r w:rsidRPr="00EC3FDF">
          <w:rPr>
            <w:rStyle w:val="Collegamentoipertestuale"/>
            <w:rFonts w:cstheme="minorHAnsi"/>
            <w:color w:val="auto"/>
          </w:rPr>
          <w:t>7 della legge 29 maggio 2017, n. 71</w:t>
        </w:r>
      </w:hyperlink>
      <w:r w:rsidRPr="00EC3FDF">
        <w:rPr>
          <w:rFonts w:cstheme="minorHAnsi"/>
          <w:shd w:val="clear" w:color="auto" w:fill="FFFFFF"/>
        </w:rPr>
        <w:t>(Disposizioni a tutela dei minori per la prevenzione e il contrasto dei fenomeni del bullismo e del cyberbullismo), come modificato dalla presente legge: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1 (Finalità e definizioni). - 1. La presente legge è volta a prevenire e contrastare i fenomeni del bullismo e del cyberbullismo in tutte le loro manifestazioni, in particolare con azioni di carattere preventivo e con una strategia di attenzione e tutela nei confronti dei minori, sia nella posizione di vittime sia in quella di responsabili di illeciti, privilegiando azioni di carattere formativo ed educativo e assicurando l'attuazione degli interventi, senza distinzione di età, nell'ambito delle istituzioni scolastiche, delle organizzazioni degli enti locali, sportive e del Terzo settore che svolgono attività educative, anche non formali, e nei riguardi dei soggetti esercenti la responsabilità genitoriale, cui incombe l'obbligo di orientare i figli al corretto utilizzo delle tecnologie e di presidiarne l'uso.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lastRenderedPageBreak/>
        <w:t>1-bis. Ai fini della presente legge, per «bullismo» si intendono l'aggressione o la molestia reiterate, da parte di una singola persona o di un gruppo di persone, in danno di un minore o di un gruppo di minori, idonee a provocare sentimenti di ansia, di timore, di isolamento o di emarginazione, attraverso atti o comportamenti vessatori, pressioni o violenze fisiche o psicologiche, istigazione al suicidio o all'autolesionismo, minacce o ricatti, furti o danneggiamenti, offese o derisioni.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Ai fini della presente legge, per «cyberbullismo» si intende qualunque forma di pressione, aggressione, molestia, ricatto, ingiuria, denigrazione, diffamazione, furto d'identità, alterazione, acquisizione illecita, manipolazione, trattamento illecito di dati personali in danno di minorenni, realizzata per via telematica, nonché la diffusione di contenuti on line aventi ad oggetto anche uno o più componenti della famiglia del minore il cui scopo intenzionale e predominante sia quello di isolare un minore o un gruppo di minori ponendo in atto un serio abuso, un attacco dannoso, o la loro messa in ridicolo.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3. Ai fini della presente legge, per «gestore del sito internet» si intende il prestatore di servizi della società dell'in-formazione, diverso da quelli di cui agli</w:t>
      </w:r>
      <w:r w:rsidRPr="00EC3FDF">
        <w:rPr>
          <w:rStyle w:val="apple-converted-space"/>
          <w:rFonts w:cstheme="minorHAnsi"/>
          <w:shd w:val="clear" w:color="auto" w:fill="FFFFFF"/>
        </w:rPr>
        <w:t> </w:t>
      </w:r>
      <w:hyperlink r:id="rId36" w:tgtFrame="_blank" w:history="1">
        <w:r w:rsidRPr="00EC3FDF">
          <w:rPr>
            <w:rStyle w:val="Collegamentoipertestuale"/>
            <w:rFonts w:cstheme="minorHAnsi"/>
            <w:color w:val="auto"/>
          </w:rPr>
          <w:t>articoli 14</w:t>
        </w:r>
      </w:hyperlink>
      <w:r w:rsidRPr="00EC3FDF">
        <w:rPr>
          <w:rFonts w:cstheme="minorHAnsi"/>
          <w:shd w:val="clear" w:color="auto" w:fill="FFFFFF"/>
        </w:rPr>
        <w:t>,</w:t>
      </w:r>
      <w:r w:rsidRPr="00EC3FDF">
        <w:rPr>
          <w:rStyle w:val="apple-converted-space"/>
          <w:rFonts w:cstheme="minorHAnsi"/>
          <w:shd w:val="clear" w:color="auto" w:fill="FFFFFF"/>
        </w:rPr>
        <w:t> </w:t>
      </w:r>
      <w:hyperlink r:id="rId37" w:tgtFrame="_blank" w:history="1">
        <w:r w:rsidRPr="00EC3FDF">
          <w:rPr>
            <w:rStyle w:val="Collegamentoipertestuale"/>
            <w:rFonts w:cstheme="minorHAnsi"/>
            <w:color w:val="auto"/>
          </w:rPr>
          <w:t>15</w:t>
        </w:r>
      </w:hyperlink>
      <w:r w:rsidRPr="00EC3FDF">
        <w:rPr>
          <w:rStyle w:val="apple-converted-space"/>
          <w:rFonts w:cstheme="minorHAnsi"/>
          <w:shd w:val="clear" w:color="auto" w:fill="FFFFFF"/>
        </w:rPr>
        <w:t> </w:t>
      </w:r>
      <w:r w:rsidRPr="00EC3FDF">
        <w:rPr>
          <w:rFonts w:cstheme="minorHAnsi"/>
          <w:shd w:val="clear" w:color="auto" w:fill="FFFFFF"/>
        </w:rPr>
        <w:t>e</w:t>
      </w:r>
      <w:r w:rsidRPr="00EC3FDF">
        <w:rPr>
          <w:rStyle w:val="apple-converted-space"/>
          <w:rFonts w:cstheme="minorHAnsi"/>
          <w:shd w:val="clear" w:color="auto" w:fill="FFFFFF"/>
        </w:rPr>
        <w:t> </w:t>
      </w:r>
      <w:hyperlink r:id="rId38" w:tgtFrame="_blank" w:history="1">
        <w:r w:rsidRPr="00EC3FDF">
          <w:rPr>
            <w:rStyle w:val="Collegamentoipertestuale"/>
            <w:rFonts w:cstheme="minorHAnsi"/>
            <w:color w:val="auto"/>
          </w:rPr>
          <w:t>16 del decreto legislativo 9 aprile 2003, n. 70</w:t>
        </w:r>
      </w:hyperlink>
      <w:r w:rsidRPr="00EC3FDF">
        <w:rPr>
          <w:rFonts w:cstheme="minorHAnsi"/>
          <w:shd w:val="clear" w:color="auto" w:fill="FFFFFF"/>
        </w:rPr>
        <w:t>, che, sulla rete internet, cura la gestione dei contenuti di un sito in cui si possono riscontrare le condotte di cui al comma 2.»</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xml:space="preserve">«Art. 3 (Piano di azione integrato). - 1. Con decreto del Ministro dell'istruzione e del merito, di concerto con l'Autorità politica delegata per le politiche della famiglia, da adottare entro trenta giorni dalla data di entrata in vigore della presente disposizione, è istituito presso il medesimo Ministero, senza nuovi o maggiori oneri per la finanza pubblica, il tavolo tecnico per la prevenzione e il contrasto del bullismo e del cyberbullismo, del quale fanno parte rappresentanti del Dipartimento per le politiche della famiglia della Presidenza del Consiglio dei ministri, del Ministero dell'istruzione e del merito, del Ministero dell'interno, del Ministero del lavoro e delle politiche sociali, del Ministero della giustizia, del Ministero delle imprese e del made in </w:t>
      </w:r>
      <w:proofErr w:type="spellStart"/>
      <w:r w:rsidRPr="00EC3FDF">
        <w:rPr>
          <w:rFonts w:cstheme="minorHAnsi"/>
          <w:shd w:val="clear" w:color="auto" w:fill="FFFFFF"/>
        </w:rPr>
        <w:t>Italy</w:t>
      </w:r>
      <w:proofErr w:type="spellEnd"/>
      <w:r w:rsidRPr="00EC3FDF">
        <w:rPr>
          <w:rFonts w:cstheme="minorHAnsi"/>
          <w:shd w:val="clear" w:color="auto" w:fill="FFFFFF"/>
        </w:rPr>
        <w:t>, del Ministero della salute, della Conferenza unificata di cui all'</w:t>
      </w:r>
      <w:hyperlink r:id="rId39" w:tgtFrame="_blank" w:history="1">
        <w:r w:rsidRPr="00EC3FDF">
          <w:rPr>
            <w:rStyle w:val="Collegamentoipertestuale"/>
            <w:rFonts w:cstheme="minorHAnsi"/>
            <w:color w:val="auto"/>
          </w:rPr>
          <w:t>articolo 8 del decreto legislativo 28 agosto 1997, n. 281</w:t>
        </w:r>
      </w:hyperlink>
      <w:r w:rsidRPr="00EC3FDF">
        <w:rPr>
          <w:rFonts w:cstheme="minorHAnsi"/>
          <w:shd w:val="clear" w:color="auto" w:fill="FFFFFF"/>
        </w:rPr>
        <w:t>, dell'Autorità per le garanzie nelle comunicazioni, del Garante per l'infanzia e l'adolescenza, del Consiglio nazionale dei consumatori e degli utenti, del Comitato di applicazione del codice di autoregolamentazione media e minori, del Garante per la protezione dei dati personali, di associazioni con comprovata esperienza nella promozione dei diritti dei minori e degli adolescenti e nelle tematiche di genere, degli operatori che forniscono servizi di social networking e degli altri operatori della rete internet, una rappresentanza delle associazioni studentesche e dei genitori e una rappresentanza delle associazioni attive nel contrasto del bullismo e del cyberbullismo nonché esperti dotati di specifiche competenze in campo psicologico, pedagogico e delle comunicazioni sociali telematiche, nominati dal Ministro dell'istruzione e del merito, di concerto con l'Autorità politica delegata per le politiche della famiglia. Ai soggetti che partecipano ai lavori del tavolo non è corrisposto alcun compenso, indennità, gettone di presenza, rimborso spese o emolumento comunque denominato.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Il tavolo tecnico di cui al comma 1, convocato regolarmente a cadenza semestrale e presieduto da un rappresentante del Dipartimento per le politiche della famiglia della Presidenza del Consiglio dei ministri, redige, entro centottanta giorni dal suo insediamento, un piano di azione integrato per il contrasto e la prevenzione del bullismo e del cyberbullismo, nel rispetto delle direttive europee in materia e nell'ambito del programma pluriennale dell'Unione europea di cui alla</w:t>
      </w:r>
      <w:r w:rsidRPr="00EC3FDF">
        <w:rPr>
          <w:rStyle w:val="apple-converted-space"/>
          <w:rFonts w:cstheme="minorHAnsi"/>
          <w:shd w:val="clear" w:color="auto" w:fill="FFFFFF"/>
        </w:rPr>
        <w:t> </w:t>
      </w:r>
      <w:hyperlink r:id="rId40" w:tgtFrame="_blank" w:history="1">
        <w:r w:rsidRPr="00EC3FDF">
          <w:rPr>
            <w:rStyle w:val="Collegamentoipertestuale"/>
            <w:rFonts w:cstheme="minorHAnsi"/>
            <w:color w:val="auto"/>
          </w:rPr>
          <w:t>decisione 1351/2008/CE del Parlamento europeo e del Consiglio, del 16 dicembre 2008</w:t>
        </w:r>
      </w:hyperlink>
      <w:r w:rsidRPr="00EC3FDF">
        <w:rPr>
          <w:rFonts w:cstheme="minorHAnsi"/>
          <w:shd w:val="clear" w:color="auto" w:fill="FFFFFF"/>
        </w:rPr>
        <w:t>, e realizza un sistema di raccolta di dati finalizzato al monitoraggio dell'evoluzione dei fenomeni e, anche avvalendosi della collaborazione con la Polizia postale e delle comunicazioni e con altre Forze di polizia, al controllo dei contenuti per la tutela dei minori. Il tavolo tecnico collabora con la Consulta dei diritti e dei doveri del bambino e dell'adolescente digitale, di cui al</w:t>
      </w:r>
      <w:r w:rsidRPr="00EC3FDF">
        <w:rPr>
          <w:rStyle w:val="apple-converted-space"/>
          <w:rFonts w:cstheme="minorHAnsi"/>
          <w:shd w:val="clear" w:color="auto" w:fill="FFFFFF"/>
        </w:rPr>
        <w:t> </w:t>
      </w:r>
      <w:hyperlink r:id="rId41" w:tgtFrame="_blank" w:history="1">
        <w:r w:rsidRPr="00EC3FDF">
          <w:rPr>
            <w:rStyle w:val="Collegamentoipertestuale"/>
            <w:rFonts w:cstheme="minorHAnsi"/>
            <w:color w:val="auto"/>
          </w:rPr>
          <w:t>comma 3 dell'articolo 5 della legge 20 agosto 2019, n. 92</w:t>
        </w:r>
      </w:hyperlink>
      <w:r w:rsidRPr="00EC3FDF">
        <w:rPr>
          <w:rFonts w:cstheme="minorHAnsi"/>
          <w:shd w:val="clear" w:color="auto" w:fill="FFFFFF"/>
        </w:rPr>
        <w:t>.</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lastRenderedPageBreak/>
        <w:t>3. Il piano di cui al comma 2 è integrato, entro il termine previsto dal medesimo comma, con il codice di co-regolamentazione per la prevenzione e il contrasto del bullismo e del cyberbullismo, a cui devono attenersi gli operatori che forniscono servizi di social networking e gli altri operatori della rete internet. Con il predetto codice è istituito un comitato di monitoraggio al quale è assegnato il compito di identificare procedure e formati standard per l'istanza di cui all'articolo 2, comma 1, nonché di aggiornare periodicamente, sulla base delle evoluzioni tecnologiche e dei dati raccolti dal tavolo tecnico di cui al comma 1 del presente articolo, la tipologia dei soggetti ai quali è possibile inoltrare la medesima istanza secondo modalità disciplinate con il decreto di cui al medesimo comma 1. Ai soggetti che partecipano ai lavori del comitato di monitoraggio non è corrisposto alcun compenso, indennità, gettone di presenza, rimborso spese o emolumento comunque denominato.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4. Il piano di cui al comma 2 stabilisce altresì le iniziative di informazione e di prevenzione dei fenomeni del bullismo e del cyberbullismo rivolte ai cittadini, coinvolgendo primariamente i servizi socio-educativi presenti sul territorio in sinergia con le istituzioni scolastiche, gli enti locali, le organizzazioni sportive e gli enti del Terzo settore.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5. Nell'ambito del piano di cui al comma 2 l'Autorità politica delegata per le politiche della famiglia, in collaborazione con l'Autorità per le garanzie nelle comunicazioni e con il Garante per la protezione dei dati personali, predispone, nei limiti delle risorse di cui al primo periodo del comma 7, periodiche campagne informative di prevenzione e di sensibilizzazione sui fenomeni del bullismo e del cyberbullismo, anche per la diffusione della conoscenza dei sistemi di controllo parentale, avvalendosi dei principali media nonché degli organi di comunicazione e di stampa e di soggetti privati.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6. A decorrere dall'anno successivo a quello in corso alla data di entrata in vigore della presente disposizione, il Ministro dell'istruzione e del merito trasmette alle Camere, entro il 31 dicembre di ogni anno, una relazione sugli esiti delle attività svolte dal tavolo tecnico per la prevenzione e il contrasto del bullismo e del cyberbullismo, di cui al comma 1.</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7. Ai fini dell'attuazione delle disposizioni di cui al comma 5, è autorizzata la spesa di euro 50.000 annui a decorrere dall'anno 2017. Al relativo onere si provvede mediante corrispondente riduzione, per gli anni 2017, 2018 e 2019, dello stanziamento del fondo speciale di parte corrente iscritto, ai fini del bilancio triennale 2017-2019, nell'ambito del programma «Fondi di riserva e speciali» della missione «Fondi da ripartire» dello stato di previsione del Ministero dell'economia e delle finanze per l'anno 2017, allo scopo parzialmente utilizzando l'accantonamento relativo al medesimo Ministero.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7-bis. Ai fini dell'attuazione delle disposizioni di cui al comma 5, l'autorizzazione di spesa di cui al comma 7 è incrementata di euro 100.000 annui a decorrere dall'anno 2024. Al relativo onere si provvede mediante corrispondente riduzione dello stanziamento del fondo speciale di parte corrente iscritto, ai fini del bilancio triennale 2024-2026, nell'ambito del programma «Fondi di riserva e speciali» della missione «Fondi da ripartire» dello stato di previsione del Ministero dell'economia e delle finanze per l'anno 2024, allo scopo parzialmente utilizzando l'accantonamento relativo al medesimo Ministero.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8. Il Ministro dell'economia e delle finanze è autorizzato ad apportare, con propri decreti, le occorrenti variazioni di bilancio.»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xml:space="preserve">«Art. 4 (Linee di orientamento per la prevenzione e il contrasto in ambito scolastico). - 1. Per l'attuazione delle finalità di cui all'articolo 1, comma 1, il Ministero dell'istruzione, dell'università e della ricerca, sentito il Ministero della giustizia - Dipartimento per la giustizia minorile e di comunità, entro trenta giorni dalla data di entrata in vigore della presente legge adotta linee di orientamento, recanti anche l'indicazione delle procedure, per la prevenzione e il contrasto del bullismo e del cyberbullismo nelle scuole, anche avvalendosi della collaborazione della Polizia </w:t>
      </w:r>
      <w:r w:rsidRPr="00EC3FDF">
        <w:rPr>
          <w:rFonts w:cstheme="minorHAnsi"/>
          <w:shd w:val="clear" w:color="auto" w:fill="FFFFFF"/>
        </w:rPr>
        <w:lastRenderedPageBreak/>
        <w:t>postale e delle comunicazioni, e provvede al loro aggiornamento con cadenza biennale.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Le linee di orientamento di cui al comma 1, conformemente a quanto previsto alla</w:t>
      </w:r>
      <w:r w:rsidRPr="00EC3FDF">
        <w:rPr>
          <w:rStyle w:val="apple-converted-space"/>
          <w:rFonts w:cstheme="minorHAnsi"/>
          <w:shd w:val="clear" w:color="auto" w:fill="FFFFFF"/>
        </w:rPr>
        <w:t> </w:t>
      </w:r>
      <w:hyperlink r:id="rId42" w:tgtFrame="_blank" w:history="1">
        <w:r w:rsidRPr="00EC3FDF">
          <w:rPr>
            <w:rStyle w:val="Collegamentoipertestuale"/>
            <w:rFonts w:cstheme="minorHAnsi"/>
            <w:color w:val="auto"/>
          </w:rPr>
          <w:t>lettera l) del comma 7 dell'articolo 1 della legge 13 luglio 2015, n. 107</w:t>
        </w:r>
      </w:hyperlink>
      <w:r w:rsidRPr="00EC3FDF">
        <w:rPr>
          <w:rFonts w:cstheme="minorHAnsi"/>
          <w:shd w:val="clear" w:color="auto" w:fill="FFFFFF"/>
        </w:rPr>
        <w:t xml:space="preserve">, includono per il triennio 2017-2019: la formazione del personale scolastico, prevedendo la partecipazione di un proprio referente per ogni autonomia scolastica; la promozione di un ruolo attivo degli studenti, nonché di ex studenti che abbiano già operato all'interno dell'istituto scolastico in attività di peer </w:t>
      </w:r>
      <w:proofErr w:type="spellStart"/>
      <w:r w:rsidRPr="00EC3FDF">
        <w:rPr>
          <w:rFonts w:cstheme="minorHAnsi"/>
          <w:shd w:val="clear" w:color="auto" w:fill="FFFFFF"/>
        </w:rPr>
        <w:t>education</w:t>
      </w:r>
      <w:proofErr w:type="spellEnd"/>
      <w:r w:rsidRPr="00EC3FDF">
        <w:rPr>
          <w:rFonts w:cstheme="minorHAnsi"/>
          <w:shd w:val="clear" w:color="auto" w:fill="FFFFFF"/>
        </w:rPr>
        <w:t>, nella prevenzione e nel contrasto del bullismo e del cyberbullismo nelle scuole; la previsione di misure di sostegno e rieducazione dei minori coinvolti; un efficace sistema di governance diretto dal Ministero dell'istruzione, dell'università e della ricerca.</w:t>
      </w:r>
      <w:r w:rsidRPr="00EC3FDF">
        <w:rPr>
          <w:rFonts w:cstheme="minorHAnsi"/>
        </w:rPr>
        <w:br/>
      </w:r>
      <w:r w:rsidRPr="00EC3FDF">
        <w:rPr>
          <w:rFonts w:cstheme="minorHAnsi"/>
          <w:shd w:val="clear" w:color="auto" w:fill="FFFFFF"/>
        </w:rPr>
        <w:t>Dall'adozione delle linee di orientamento non devono derivare nuovi o maggiori oneri per la finanza pubblica.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2-bis. Ogni istituto scolastico, nell'ambito della propria autonomia e in conformità alle linee di orientamento di cui al comma 1, adotta un codice interno per la prevenzione e il contrasto dei fenomeni del bullismo e del cyberbullismo e istituisce un tavolo permanente di monitoraggio del quale fanno parte rappresentanti degli studenti, degli insegnanti, delle famiglie ed esperti di settore.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3. Ogni istituto scolastico, nell'ambito della propria autonomia, recepisce nel proprio regolamento di istituto le linee di orientamento di cui al comma 1, anche con riferimento alle procedure da adottare per la prevenzione e il contrasto del bullismo e del cyberbullismo, e individua fra i docenti un referente con il compito di coordinare le relative iniziative , anche avvalendosi della collaborazione delle Forze di polizia nonché delle associazioni e dei centri di aggregazione giovanile presenti sul territorio.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4. Gli uffici scolastici regionali promuovono la pubblicazione di bandi per il finanziamento di progetti di particolare interesse elaborati da reti di scuole, in collaborazione con i servizi minorili dell'Amministrazione della giustizia, le prefetture - Uffici territoriali del Governo, gli enti locali, i servizi territoriali, le Forze di polizia nonché associazioni ed enti, per promuovere sul territorio azioni integrate di contrasto del bullismo e del cyberbullismo e l'educazione alla legalità al fine di favorire nei ragazzi comportamenti di salvaguardia e di contrasto, agevolando e valorizzando il coinvolgimento di ogni altra istituzione competente, ente o associazione, operante a livello nazionale o territoriale, nell'ambito delle attività di formazione e sensibilizzazione. I bandi per accedere ai finanziamenti, l'entità dei singoli finanziamenti erogati, i soggetti beneficiari e i dettagli relativi ai progetti finanziati sono pubblicati nel sito internet istituzionale degli uffici scolastici regionali, nel rispetto della trasparenza e dell'evidenza pubblica.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5. Conformemente a quanto previsto dalla</w:t>
      </w:r>
      <w:r w:rsidRPr="00EC3FDF">
        <w:rPr>
          <w:rStyle w:val="apple-converted-space"/>
          <w:rFonts w:cstheme="minorHAnsi"/>
          <w:shd w:val="clear" w:color="auto" w:fill="FFFFFF"/>
        </w:rPr>
        <w:t> </w:t>
      </w:r>
      <w:hyperlink r:id="rId43" w:tgtFrame="_blank" w:history="1">
        <w:r w:rsidRPr="00EC3FDF">
          <w:rPr>
            <w:rStyle w:val="Collegamentoipertestuale"/>
            <w:rFonts w:cstheme="minorHAnsi"/>
            <w:color w:val="auto"/>
          </w:rPr>
          <w:t>lettera h) del comma 7 dell'articolo 1 della legge 13 luglio 2015, n. 107</w:t>
        </w:r>
      </w:hyperlink>
      <w:r w:rsidRPr="00EC3FDF">
        <w:rPr>
          <w:rFonts w:cstheme="minorHAnsi"/>
          <w:shd w:val="clear" w:color="auto" w:fill="FFFFFF"/>
        </w:rPr>
        <w:t>, le istituzioni scolastiche di ogni ordine e grado, nell'ambito della propria autonomia e nell'ambito delle risorse disponibili a legislazione vigente, promuovono l'educazione all'uso consapevole della rete internet e ai diritti e doveri connessi all'utilizzo delle tecnologie informatiche, quale elemento trasversale alle diverse discipline curricolari, anche mediante la realizzazione di apposite attività progettuali aventi carattere di continuità tra i diversi gradi di istruzione o di progetti elaborati da reti di scuole in collaborazione con enti locali, servizi territoriali, organi di polizia, associazioni ed enti.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6. I servizi territoriali, con l'ausilio delle associazioni e degli altri enti che perseguono le finalità della presente legge, promuovono, nell'ambito delle risorse disponibili, specifici progetti personalizzati volti a sostenere i minori vittime di atti di bullismo e di cyberbullismo nonché a rieducare, anche attraverso l'esercizio di attività riparatorie o di utilità sociale, i minori artefici di tali condotte.»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xml:space="preserve">«Art. 5 (Informativa alle famiglie, sanzioni in ambito scolastico e progetti di sostegno e di recupero). - 1. Salvo che il fatto costituisca reato, il dirigente scolastico che venga a conoscenza di </w:t>
      </w:r>
      <w:r w:rsidRPr="00EC3FDF">
        <w:rPr>
          <w:rFonts w:cstheme="minorHAnsi"/>
          <w:shd w:val="clear" w:color="auto" w:fill="FFFFFF"/>
        </w:rPr>
        <w:lastRenderedPageBreak/>
        <w:t>atti di cui all'articolo 1, realizzati anche in forma non telematica, che coinvolgano studenti iscritti all'istituto scolastico che dirige, applica le procedure previste dalle linee di orientamento di cui all'articolo 4. Egli informa altresì tempestivamente i genitori dei minori coinvolti o i soggetti esercenti la responsabilità genitoriale su di essi e promuove adeguate iniziative di carattere educativo nei riguardi dei minori medesimi, anche con l'eventuale coinvolgimento del gruppo costituente la classe in percorsi di mediazione scolastica. Nei casi più gravi ovvero se si tratti di condotte reiterate e, comunque, quando le iniziative di carattere educativo adottate dall'istituzione scolastica non abbiano prodotto esito positivo, il dirigente scolastico riferisce alle autorità competenti anche per l'eventuale attivazione delle misure rieducative di cui all'</w:t>
      </w:r>
      <w:hyperlink r:id="rId44" w:tgtFrame="_blank" w:history="1">
        <w:r w:rsidRPr="00EC3FDF">
          <w:rPr>
            <w:rStyle w:val="Collegamentoipertestuale"/>
            <w:rFonts w:cstheme="minorHAnsi"/>
            <w:color w:val="auto"/>
          </w:rPr>
          <w:t>articolo 25 del regio decreto-legge 20 luglio 1934, n. 1404</w:t>
        </w:r>
      </w:hyperlink>
      <w:r w:rsidRPr="00EC3FDF">
        <w:rPr>
          <w:rFonts w:cstheme="minorHAnsi"/>
          <w:shd w:val="clear" w:color="auto" w:fill="FFFFFF"/>
        </w:rPr>
        <w:t>, convertito, con modificazioni, dalla</w:t>
      </w:r>
      <w:r w:rsidRPr="00EC3FDF">
        <w:rPr>
          <w:rStyle w:val="apple-converted-space"/>
          <w:rFonts w:cstheme="minorHAnsi"/>
          <w:shd w:val="clear" w:color="auto" w:fill="FFFFFF"/>
        </w:rPr>
        <w:t> </w:t>
      </w:r>
      <w:hyperlink r:id="rId45" w:tgtFrame="_blank" w:history="1">
        <w:r w:rsidRPr="00EC3FDF">
          <w:rPr>
            <w:rStyle w:val="Collegamentoipertestuale"/>
            <w:rFonts w:cstheme="minorHAnsi"/>
            <w:color w:val="auto"/>
          </w:rPr>
          <w:t>legge 27 maggio 1935, n. 835</w:t>
        </w:r>
      </w:hyperlink>
      <w:r w:rsidRPr="00EC3FDF">
        <w:rPr>
          <w:rFonts w:cstheme="minorHAnsi"/>
          <w:shd w:val="clear" w:color="auto" w:fill="FFFFFF"/>
        </w:rPr>
        <w:t>.</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I regolamenti delle istituzioni scolastiche di cui all'articolo 4, comma 1, del regolamento di cui al</w:t>
      </w:r>
      <w:r w:rsidRPr="00EC3FDF">
        <w:rPr>
          <w:rStyle w:val="apple-converted-space"/>
          <w:rFonts w:cstheme="minorHAnsi"/>
          <w:shd w:val="clear" w:color="auto" w:fill="FFFFFF"/>
        </w:rPr>
        <w:t> </w:t>
      </w:r>
      <w:hyperlink r:id="rId46" w:tgtFrame="_blank" w:history="1">
        <w:r w:rsidRPr="00EC3FDF">
          <w:rPr>
            <w:rStyle w:val="Collegamentoipertestuale"/>
            <w:rFonts w:cstheme="minorHAnsi"/>
            <w:color w:val="auto"/>
          </w:rPr>
          <w:t>decreto del Presidente della Repubblica 24 giugno 1998, n. 249</w:t>
        </w:r>
      </w:hyperlink>
      <w:r w:rsidRPr="00EC3FDF">
        <w:rPr>
          <w:rFonts w:cstheme="minorHAnsi"/>
          <w:shd w:val="clear" w:color="auto" w:fill="FFFFFF"/>
        </w:rPr>
        <w:t>, e successive modificazioni, e il patto educativo di corresponsabilità di cui all'articolo 5-bis del citato decreto n. 249 del 1998 sono integrati, sulla base delle linee di orientamento di cui all'articolo 4 della presente legge, con specifici riferimenti alle condotte di bullismo e di cyberbullismo e relative sanzioni disciplinari commisurate alla gravità degli atti compiuti.»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7 (Ammonimento). - 1. Fino a quando non è proposta querela o non è presentata denuncia per taluno dei reati di cui agli</w:t>
      </w:r>
      <w:r w:rsidRPr="00EC3FDF">
        <w:rPr>
          <w:rStyle w:val="apple-converted-space"/>
          <w:rFonts w:cstheme="minorHAnsi"/>
          <w:shd w:val="clear" w:color="auto" w:fill="FFFFFF"/>
        </w:rPr>
        <w:t> </w:t>
      </w:r>
      <w:hyperlink r:id="rId47" w:tgtFrame="_blank" w:history="1">
        <w:r w:rsidRPr="00EC3FDF">
          <w:rPr>
            <w:rStyle w:val="Collegamentoipertestuale"/>
            <w:rFonts w:cstheme="minorHAnsi"/>
            <w:color w:val="auto"/>
          </w:rPr>
          <w:t>articoli 594</w:t>
        </w:r>
      </w:hyperlink>
      <w:r w:rsidRPr="00EC3FDF">
        <w:rPr>
          <w:rFonts w:cstheme="minorHAnsi"/>
          <w:shd w:val="clear" w:color="auto" w:fill="FFFFFF"/>
        </w:rPr>
        <w:t>,</w:t>
      </w:r>
      <w:r w:rsidRPr="00EC3FDF">
        <w:rPr>
          <w:rStyle w:val="apple-converted-space"/>
          <w:rFonts w:cstheme="minorHAnsi"/>
          <w:shd w:val="clear" w:color="auto" w:fill="FFFFFF"/>
        </w:rPr>
        <w:t> </w:t>
      </w:r>
      <w:hyperlink r:id="rId48" w:tgtFrame="_blank" w:history="1">
        <w:r w:rsidRPr="00EC3FDF">
          <w:rPr>
            <w:rStyle w:val="Collegamentoipertestuale"/>
            <w:rFonts w:cstheme="minorHAnsi"/>
            <w:color w:val="auto"/>
          </w:rPr>
          <w:t>595</w:t>
        </w:r>
      </w:hyperlink>
      <w:r w:rsidRPr="00EC3FDF">
        <w:rPr>
          <w:rFonts w:cstheme="minorHAnsi"/>
          <w:shd w:val="clear" w:color="auto" w:fill="FFFFFF"/>
        </w:rPr>
        <w:t>,</w:t>
      </w:r>
      <w:r w:rsidRPr="00EC3FDF">
        <w:rPr>
          <w:rStyle w:val="apple-converted-space"/>
          <w:rFonts w:cstheme="minorHAnsi"/>
          <w:shd w:val="clear" w:color="auto" w:fill="FFFFFF"/>
        </w:rPr>
        <w:t> </w:t>
      </w:r>
      <w:hyperlink r:id="rId49" w:tgtFrame="_blank" w:history="1">
        <w:r w:rsidRPr="00EC3FDF">
          <w:rPr>
            <w:rStyle w:val="Collegamentoipertestuale"/>
            <w:rFonts w:cstheme="minorHAnsi"/>
            <w:color w:val="auto"/>
          </w:rPr>
          <w:t>612</w:t>
        </w:r>
      </w:hyperlink>
      <w:r w:rsidRPr="00EC3FDF">
        <w:rPr>
          <w:rStyle w:val="apple-converted-space"/>
          <w:rFonts w:cstheme="minorHAnsi"/>
          <w:shd w:val="clear" w:color="auto" w:fill="FFFFFF"/>
        </w:rPr>
        <w:t> </w:t>
      </w:r>
      <w:r w:rsidRPr="00EC3FDF">
        <w:rPr>
          <w:rFonts w:cstheme="minorHAnsi"/>
          <w:shd w:val="clear" w:color="auto" w:fill="FFFFFF"/>
        </w:rPr>
        <w:t>e</w:t>
      </w:r>
      <w:r w:rsidRPr="00EC3FDF">
        <w:rPr>
          <w:rStyle w:val="apple-converted-space"/>
          <w:rFonts w:cstheme="minorHAnsi"/>
          <w:shd w:val="clear" w:color="auto" w:fill="FFFFFF"/>
        </w:rPr>
        <w:t> </w:t>
      </w:r>
      <w:hyperlink r:id="rId50" w:tgtFrame="_blank" w:history="1">
        <w:r w:rsidRPr="00EC3FDF">
          <w:rPr>
            <w:rStyle w:val="Collegamentoipertestuale"/>
            <w:rFonts w:cstheme="minorHAnsi"/>
            <w:color w:val="auto"/>
          </w:rPr>
          <w:t xml:space="preserve">612-ter del codice </w:t>
        </w:r>
        <w:proofErr w:type="spellStart"/>
        <w:r w:rsidRPr="00EC3FDF">
          <w:rPr>
            <w:rStyle w:val="Collegamentoipertestuale"/>
            <w:rFonts w:cstheme="minorHAnsi"/>
            <w:color w:val="auto"/>
          </w:rPr>
          <w:t>penale</w:t>
        </w:r>
      </w:hyperlink>
      <w:r w:rsidRPr="00EC3FDF">
        <w:rPr>
          <w:rFonts w:cstheme="minorHAnsi"/>
          <w:shd w:val="clear" w:color="auto" w:fill="FFFFFF"/>
        </w:rPr>
        <w:t>e</w:t>
      </w:r>
      <w:proofErr w:type="spellEnd"/>
      <w:r w:rsidRPr="00EC3FDF">
        <w:rPr>
          <w:rFonts w:cstheme="minorHAnsi"/>
          <w:shd w:val="clear" w:color="auto" w:fill="FFFFFF"/>
        </w:rPr>
        <w:t xml:space="preserve"> all'</w:t>
      </w:r>
      <w:hyperlink r:id="rId51" w:tgtFrame="_blank" w:history="1">
        <w:r w:rsidRPr="00EC3FDF">
          <w:rPr>
            <w:rStyle w:val="Collegamentoipertestuale"/>
            <w:rFonts w:cstheme="minorHAnsi"/>
            <w:color w:val="auto"/>
          </w:rPr>
          <w:t>articolo 167 del codice per la protezione dei dati personali</w:t>
        </w:r>
      </w:hyperlink>
      <w:r w:rsidRPr="00EC3FDF">
        <w:rPr>
          <w:rFonts w:cstheme="minorHAnsi"/>
          <w:shd w:val="clear" w:color="auto" w:fill="FFFFFF"/>
        </w:rPr>
        <w:t>, di cui al</w:t>
      </w:r>
      <w:r w:rsidRPr="00EC3FDF">
        <w:rPr>
          <w:rStyle w:val="apple-converted-space"/>
          <w:rFonts w:cstheme="minorHAnsi"/>
          <w:shd w:val="clear" w:color="auto" w:fill="FFFFFF"/>
        </w:rPr>
        <w:t> </w:t>
      </w:r>
      <w:hyperlink r:id="rId52" w:tgtFrame="_blank" w:history="1">
        <w:r w:rsidRPr="00EC3FDF">
          <w:rPr>
            <w:rStyle w:val="Collegamentoipertestuale"/>
            <w:rFonts w:cstheme="minorHAnsi"/>
            <w:color w:val="auto"/>
          </w:rPr>
          <w:t>decreto legislativo 30 giugno 2003, n. 196</w:t>
        </w:r>
      </w:hyperlink>
      <w:r w:rsidRPr="00EC3FDF">
        <w:rPr>
          <w:rFonts w:cstheme="minorHAnsi"/>
          <w:shd w:val="clear" w:color="auto" w:fill="FFFFFF"/>
        </w:rPr>
        <w:t>, commessi, anche mediante la rete internet, da minorenni di età superiore agli anni quattordici nei confronti di altro minorenne, è applicabile la procedura di ammonimento di cui all'</w:t>
      </w:r>
      <w:hyperlink r:id="rId53" w:tgtFrame="_blank" w:history="1">
        <w:r w:rsidRPr="00EC3FDF">
          <w:rPr>
            <w:rStyle w:val="Collegamentoipertestuale"/>
            <w:rFonts w:cstheme="minorHAnsi"/>
            <w:color w:val="auto"/>
          </w:rPr>
          <w:t>articolo 8, commi 1</w:t>
        </w:r>
      </w:hyperlink>
      <w:r w:rsidRPr="00EC3FDF">
        <w:rPr>
          <w:rStyle w:val="apple-converted-space"/>
          <w:rFonts w:cstheme="minorHAnsi"/>
          <w:shd w:val="clear" w:color="auto" w:fill="FFFFFF"/>
        </w:rPr>
        <w:t> </w:t>
      </w:r>
      <w:r w:rsidRPr="00EC3FDF">
        <w:rPr>
          <w:rFonts w:cstheme="minorHAnsi"/>
          <w:shd w:val="clear" w:color="auto" w:fill="FFFFFF"/>
        </w:rPr>
        <w:t>e</w:t>
      </w:r>
      <w:r w:rsidRPr="00EC3FDF">
        <w:rPr>
          <w:rStyle w:val="apple-converted-space"/>
          <w:rFonts w:cstheme="minorHAnsi"/>
          <w:shd w:val="clear" w:color="auto" w:fill="FFFFFF"/>
        </w:rPr>
        <w:t> </w:t>
      </w:r>
      <w:hyperlink r:id="rId54" w:tgtFrame="_blank" w:history="1">
        <w:r w:rsidRPr="00EC3FDF">
          <w:rPr>
            <w:rStyle w:val="Collegamentoipertestuale"/>
            <w:rFonts w:cstheme="minorHAnsi"/>
            <w:color w:val="auto"/>
          </w:rPr>
          <w:t>2, del decreto-legge 23 febbraio 2009, n. 11</w:t>
        </w:r>
      </w:hyperlink>
      <w:r w:rsidRPr="00EC3FDF">
        <w:rPr>
          <w:rFonts w:cstheme="minorHAnsi"/>
          <w:shd w:val="clear" w:color="auto" w:fill="FFFFFF"/>
        </w:rPr>
        <w:t>, convertito, con modificazioni, dalla</w:t>
      </w:r>
      <w:r w:rsidRPr="00EC3FDF">
        <w:rPr>
          <w:rStyle w:val="apple-converted-space"/>
          <w:rFonts w:cstheme="minorHAnsi"/>
          <w:shd w:val="clear" w:color="auto" w:fill="FFFFFF"/>
        </w:rPr>
        <w:t> </w:t>
      </w:r>
      <w:hyperlink r:id="rId55" w:tgtFrame="_blank" w:history="1">
        <w:r w:rsidRPr="00EC3FDF">
          <w:rPr>
            <w:rStyle w:val="Collegamentoipertestuale"/>
            <w:rFonts w:cstheme="minorHAnsi"/>
            <w:color w:val="auto"/>
          </w:rPr>
          <w:t>legge 23 aprile 2009, n. 38</w:t>
        </w:r>
      </w:hyperlink>
      <w:r w:rsidRPr="00EC3FDF">
        <w:rPr>
          <w:rFonts w:cstheme="minorHAnsi"/>
          <w:shd w:val="clear" w:color="auto" w:fill="FFFFFF"/>
        </w:rPr>
        <w:t>, e successive modificazioni.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Ai fini dell'ammonimento, il questore convoca il minore, unitamente ad almeno un genitore o ad altra persona esercente la responsabilità genitoriale.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3. Gli effetti dell'ammonimento di cui al comma 1 cessano al compimento della maggiore età.».</w:t>
      </w:r>
    </w:p>
    <w:p w:rsidR="00EC3FDF" w:rsidRPr="00EC3FDF" w:rsidRDefault="00EC3FDF" w:rsidP="00EC3FDF">
      <w:pPr>
        <w:shd w:val="clear" w:color="auto" w:fill="FFFFFF"/>
        <w:spacing w:after="100" w:afterAutospacing="1"/>
        <w:rPr>
          <w:rFonts w:cstheme="minorHAnsi"/>
          <w:shd w:val="clear" w:color="auto" w:fill="FFFFFF"/>
        </w:rPr>
      </w:pPr>
      <w:r w:rsidRPr="00EC3FDF">
        <w:rPr>
          <w:rFonts w:cstheme="minorHAnsi"/>
          <w:color w:val="990000"/>
          <w:shd w:val="clear" w:color="auto" w:fill="FFFFFF"/>
        </w:rPr>
        <w:t>Note all'art. 2:</w:t>
      </w:r>
      <w:r w:rsidRPr="00EC3FDF">
        <w:rPr>
          <w:rStyle w:val="apple-converted-space"/>
          <w:rFonts w:cstheme="minorHAnsi"/>
          <w:color w:val="990000"/>
          <w:shd w:val="clear" w:color="auto" w:fill="FFFFFF"/>
        </w:rPr>
        <w:t> </w:t>
      </w:r>
      <w:r w:rsidRPr="00EC3FDF">
        <w:rPr>
          <w:rFonts w:cstheme="minorHAnsi"/>
          <w:color w:val="990000"/>
        </w:rPr>
        <w:br/>
      </w:r>
      <w:r w:rsidRPr="00EC3FDF">
        <w:rPr>
          <w:rFonts w:cstheme="minorHAnsi"/>
          <w:shd w:val="clear" w:color="auto" w:fill="FFFFFF"/>
        </w:rPr>
        <w:t>- Si riporta il testo degli</w:t>
      </w:r>
      <w:r w:rsidRPr="00EC3FDF">
        <w:rPr>
          <w:rStyle w:val="apple-converted-space"/>
          <w:rFonts w:cstheme="minorHAnsi"/>
          <w:shd w:val="clear" w:color="auto" w:fill="FFFFFF"/>
        </w:rPr>
        <w:t> </w:t>
      </w:r>
      <w:hyperlink r:id="rId56" w:tgtFrame="_blank" w:history="1">
        <w:r w:rsidRPr="00EC3FDF">
          <w:rPr>
            <w:rStyle w:val="Collegamentoipertestuale"/>
            <w:rFonts w:cstheme="minorHAnsi"/>
            <w:color w:val="auto"/>
          </w:rPr>
          <w:t>articoli 26</w:t>
        </w:r>
      </w:hyperlink>
      <w:r w:rsidRPr="00EC3FDF">
        <w:rPr>
          <w:rFonts w:cstheme="minorHAnsi"/>
          <w:shd w:val="clear" w:color="auto" w:fill="FFFFFF"/>
        </w:rPr>
        <w:t>,</w:t>
      </w:r>
      <w:r w:rsidRPr="00EC3FDF">
        <w:rPr>
          <w:rStyle w:val="apple-converted-space"/>
          <w:rFonts w:cstheme="minorHAnsi"/>
          <w:shd w:val="clear" w:color="auto" w:fill="FFFFFF"/>
        </w:rPr>
        <w:t> </w:t>
      </w:r>
      <w:hyperlink r:id="rId57" w:tgtFrame="_blank" w:history="1">
        <w:r w:rsidRPr="00EC3FDF">
          <w:rPr>
            <w:rStyle w:val="Collegamentoipertestuale"/>
            <w:rFonts w:cstheme="minorHAnsi"/>
            <w:color w:val="auto"/>
          </w:rPr>
          <w:t>27</w:t>
        </w:r>
      </w:hyperlink>
      <w:r w:rsidRPr="00EC3FDF">
        <w:rPr>
          <w:rFonts w:cstheme="minorHAnsi"/>
          <w:shd w:val="clear" w:color="auto" w:fill="FFFFFF"/>
        </w:rPr>
        <w:t>,</w:t>
      </w:r>
      <w:r w:rsidRPr="00EC3FDF">
        <w:rPr>
          <w:rStyle w:val="apple-converted-space"/>
          <w:rFonts w:cstheme="minorHAnsi"/>
          <w:shd w:val="clear" w:color="auto" w:fill="FFFFFF"/>
        </w:rPr>
        <w:t> </w:t>
      </w:r>
      <w:hyperlink r:id="rId58" w:tgtFrame="_blank" w:history="1">
        <w:r w:rsidRPr="00EC3FDF">
          <w:rPr>
            <w:rStyle w:val="Collegamentoipertestuale"/>
            <w:rFonts w:cstheme="minorHAnsi"/>
            <w:color w:val="auto"/>
          </w:rPr>
          <w:t>28</w:t>
        </w:r>
      </w:hyperlink>
      <w:r w:rsidRPr="00EC3FDF">
        <w:rPr>
          <w:rStyle w:val="apple-converted-space"/>
          <w:rFonts w:cstheme="minorHAnsi"/>
          <w:shd w:val="clear" w:color="auto" w:fill="FFFFFF"/>
        </w:rPr>
        <w:t> </w:t>
      </w:r>
      <w:r w:rsidRPr="00EC3FDF">
        <w:rPr>
          <w:rFonts w:cstheme="minorHAnsi"/>
          <w:shd w:val="clear" w:color="auto" w:fill="FFFFFF"/>
        </w:rPr>
        <w:t>e</w:t>
      </w:r>
      <w:r w:rsidRPr="00EC3FDF">
        <w:rPr>
          <w:rStyle w:val="apple-converted-space"/>
          <w:rFonts w:cstheme="minorHAnsi"/>
          <w:shd w:val="clear" w:color="auto" w:fill="FFFFFF"/>
        </w:rPr>
        <w:t> </w:t>
      </w:r>
      <w:hyperlink r:id="rId59" w:tgtFrame="_blank" w:history="1">
        <w:r w:rsidRPr="00EC3FDF">
          <w:rPr>
            <w:rStyle w:val="Collegamentoipertestuale"/>
            <w:rFonts w:cstheme="minorHAnsi"/>
            <w:color w:val="auto"/>
          </w:rPr>
          <w:t>29 del regio decreto-legge 20 luglio 1934, n. 1404</w:t>
        </w:r>
      </w:hyperlink>
      <w:r w:rsidRPr="00EC3FDF">
        <w:rPr>
          <w:rStyle w:val="apple-converted-space"/>
          <w:rFonts w:cstheme="minorHAnsi"/>
          <w:shd w:val="clear" w:color="auto" w:fill="FFFFFF"/>
        </w:rPr>
        <w:t> </w:t>
      </w:r>
      <w:r w:rsidRPr="00EC3FDF">
        <w:rPr>
          <w:rFonts w:cstheme="minorHAnsi"/>
          <w:shd w:val="clear" w:color="auto" w:fill="FFFFFF"/>
        </w:rPr>
        <w:t>(Istituzione e funzionamento del tribunale per i minorenni), convertito, con modificazioni, dalla</w:t>
      </w:r>
      <w:r w:rsidRPr="00EC3FDF">
        <w:rPr>
          <w:rStyle w:val="apple-converted-space"/>
          <w:rFonts w:cstheme="minorHAnsi"/>
          <w:shd w:val="clear" w:color="auto" w:fill="FFFFFF"/>
        </w:rPr>
        <w:t> </w:t>
      </w:r>
      <w:hyperlink r:id="rId60" w:tgtFrame="_blank" w:history="1">
        <w:r w:rsidRPr="00EC3FDF">
          <w:rPr>
            <w:rStyle w:val="Collegamentoipertestuale"/>
            <w:rFonts w:cstheme="minorHAnsi"/>
            <w:color w:val="auto"/>
          </w:rPr>
          <w:t>legge 27 maggio 1935, n. 835</w:t>
        </w:r>
      </w:hyperlink>
      <w:r w:rsidRPr="00EC3FDF">
        <w:rPr>
          <w:rFonts w:cstheme="minorHAnsi"/>
          <w:shd w:val="clear" w:color="auto" w:fill="FFFFFF"/>
        </w:rPr>
        <w:t>, come modificato dalla presente legge: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26 (Misure applicabili ai minori sottoposti a procedimento penale ed ai minori il cui genitore serba condotta pregiudizievole). - Le misure prevedute dall'art. 25 possono essere promosse dal pubblico ministero, se è in corso un procedimento penale a carico del minore, quando costui non può essere o non è assoggettato a detenzione preventiva e se il minore è stato prosciolto per difetto di capacità di intendere e di volere, senza che sia stata applicata una misura di sicurezza detentiva.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xml:space="preserve">Quando è stato </w:t>
      </w:r>
      <w:proofErr w:type="spellStart"/>
      <w:r w:rsidRPr="00EC3FDF">
        <w:rPr>
          <w:rFonts w:cstheme="minorHAnsi"/>
          <w:shd w:val="clear" w:color="auto" w:fill="FFFFFF"/>
        </w:rPr>
        <w:t>conceduto</w:t>
      </w:r>
      <w:proofErr w:type="spellEnd"/>
      <w:r w:rsidRPr="00EC3FDF">
        <w:rPr>
          <w:rFonts w:cstheme="minorHAnsi"/>
          <w:shd w:val="clear" w:color="auto" w:fill="FFFFFF"/>
        </w:rPr>
        <w:t xml:space="preserve"> il perdono giudiziale o la sospensione condizionale della pena, il tribunale deve esaminare se al minore sia necessaria una delle misure previste dall'art. 25.</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La misura di cui ai commi 1, 2 e 3 dell'articolo 25 o la misura di cui al numero 3) del comma 4 del medesimo articolo 25, può altresì essere disposta quando il minore si trovi nella condizione prevista dall'</w:t>
      </w:r>
      <w:hyperlink r:id="rId61" w:tgtFrame="_blank" w:history="1">
        <w:r w:rsidRPr="00EC3FDF">
          <w:rPr>
            <w:rStyle w:val="Collegamentoipertestuale"/>
            <w:rFonts w:cstheme="minorHAnsi"/>
            <w:color w:val="auto"/>
          </w:rPr>
          <w:t>art. 333 del Codice civile</w:t>
        </w:r>
      </w:hyperlink>
      <w:r w:rsidRPr="00EC3FDF">
        <w:rPr>
          <w:rFonts w:cstheme="minorHAnsi"/>
          <w:shd w:val="clear" w:color="auto" w:fill="FFFFFF"/>
        </w:rPr>
        <w:t>.»</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27 (Disposizioni particolari alla libertà assistita). - Nel caso in cui il tribunale abbia disposto la misura prevista dall' articolo 25, comma 4, numero 3), all'atto dell'affidamento è redatto verbale nel quale vengono indicate le prescrizioni che il minore dovrà seguire, a seconda dei casi, in ordine alla sua istruzione, alla preparazione professionale, al lavoro, all'utilizzazione del tempo libero e ad eventuali terapie, nonché le linee direttive dell'assistenza, alle quali egli deve essere sottoposto.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lastRenderedPageBreak/>
        <w:t>Nel verbale può essere disposto l'allontanamento del minore dalla casa paterna. In tal caso deve essere indicato il luogo in cui il minore deve vivere e la persona o l'ente che si prende cura del suo mantenimento e della sua educazione.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Le prescrizioni e le direttive di cui ai commi precedenti sono date da un componente del tribunale all'uopo designato dal presidente alla presenza di un rappresentante l'ufficio distrettuale di servizio sociale minorile e delle altre persone interessate all'atto, che il predetto componente ritenga opportuno convocare.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L'ufficio di servizio sociale minorile controlla la condotta del minore e lo aiuta a superare le difficoltà in ordine ad una normale vita sociale, anche mettendosi all'uopo in relazione con la sua famiglia e con gli altri suoi ambienti di vita.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L'ufficio predetto riferisce periodicamente per iscritto o a voce al componente del tribunale designato, fornendogli dettagliate notizie sul comportamento del minore, delle persone che si sono prese cura di lui e sull'osservanza da parte di essi delle prescrizioni stabilite, nonché su quant'altro interessi il riadattamento sociale del minore medesimo, proponendo, se del caso, la modifica delle prescrizioni o altro dei provvedimenti previsti dall'art. 29.»</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28 (Informazioni sui minori collocati presso comunità e rapporti con la famiglia e con l'ambiente). - Il direttore dell'istituto nel quale il minore è collocato in esecuzione della misura prevista dall'articolo 25, comma 4, numero 4), invia al tribunale che ha emesso il provvedimento periodici rapporti sull'opera di rieducazione svolta e sui risultati conseguiti.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L'ufficio di servizio sociale cura i rapporti del minore con la famiglia e con gli altri ambienti di vita del medesimo, e dell'opera svolta e dei risultati ottenuti informa periodicamente per iscritto il tribunale per le persone, per i minorenni e per le famiglie.»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29 (Modificazioni, trasformazioni e cessazione delle misure). - Le prescrizioni stabilite a norma dell'art. 27 possono essere modificate in ogni tempo.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È sempre in facoltà del tribunale trasformare qualsiasi misura disposta in altra, che appaia più idonea ai fini della rieducazione del minore e del suo progressivo reinserimento nella vita sociale.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Per i minori assoggettati alla misura prevista dall'articolo 25, comma 4, numero 4), tale reinserimento può dal tribunale essere attuato altresì con licenza di esperimento. Il minore che ne beneficia rimane affidato al servizio sociale. Si applicano le disposizioni dell'art.</w:t>
      </w:r>
      <w:r w:rsidRPr="00EC3FDF">
        <w:rPr>
          <w:rFonts w:cstheme="minorHAnsi"/>
        </w:rPr>
        <w:br/>
      </w:r>
      <w:r w:rsidRPr="00EC3FDF">
        <w:rPr>
          <w:rFonts w:cstheme="minorHAnsi"/>
          <w:shd w:val="clear" w:color="auto" w:fill="FFFFFF"/>
        </w:rPr>
        <w:t>27.</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La cessazione delle misure disposte è ordinata in ogni tempo dal tribunale allorché il minore appaia interamente riadattato, o quando per le sue condizioni fisiche o psichiche nessuna misura possa considerarsi idonea alla sua rieducazione. La cessazione è in ogni caso ordinata al compimento del ventunesimo anno di età o per servizio militare di leva.».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Si riporta il testo dell'</w:t>
      </w:r>
      <w:hyperlink r:id="rId62" w:tgtFrame="_blank" w:history="1">
        <w:r w:rsidRPr="00EC3FDF">
          <w:rPr>
            <w:rStyle w:val="Collegamentoipertestuale"/>
            <w:rFonts w:cstheme="minorHAnsi"/>
            <w:color w:val="auto"/>
          </w:rPr>
          <w:t>articolo 31 del decreto legislativo 10 ottobre 2022, n. 149</w:t>
        </w:r>
      </w:hyperlink>
      <w:r w:rsidRPr="00EC3FDF">
        <w:rPr>
          <w:rFonts w:cstheme="minorHAnsi"/>
          <w:shd w:val="clear" w:color="auto" w:fill="FFFFFF"/>
        </w:rPr>
        <w:t>(Attuazione della</w:t>
      </w:r>
      <w:r w:rsidRPr="00EC3FDF">
        <w:rPr>
          <w:rStyle w:val="apple-converted-space"/>
          <w:rFonts w:cstheme="minorHAnsi"/>
          <w:shd w:val="clear" w:color="auto" w:fill="FFFFFF"/>
        </w:rPr>
        <w:t> </w:t>
      </w:r>
      <w:hyperlink r:id="rId63" w:tgtFrame="_blank" w:history="1">
        <w:r w:rsidRPr="00EC3FDF">
          <w:rPr>
            <w:rStyle w:val="Collegamentoipertestuale"/>
            <w:rFonts w:cstheme="minorHAnsi"/>
            <w:color w:val="auto"/>
          </w:rPr>
          <w:t>legge 26 novembre 2021, n. 206</w:t>
        </w:r>
      </w:hyperlink>
      <w:r w:rsidRPr="00EC3FDF">
        <w:rPr>
          <w:rFonts w:cstheme="minorHAnsi"/>
          <w:shd w:val="clear" w:color="auto" w:fill="FFFFFF"/>
        </w:rPr>
        <w:t>, recante delega al Governo per l'efficienza del processo civile e per la revisione della disciplina degli strumenti di risoluzione alternativa delle controversie e misure urgenti di razionalizzazione dei procedimenti in materia di diritti delle persone e delle famiglie nonché in materia di esecuzione forzata), come modificato dalla presente legge: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31 (Modifiche al</w:t>
      </w:r>
      <w:r w:rsidRPr="00EC3FDF">
        <w:rPr>
          <w:rStyle w:val="apple-converted-space"/>
          <w:rFonts w:cstheme="minorHAnsi"/>
          <w:shd w:val="clear" w:color="auto" w:fill="FFFFFF"/>
        </w:rPr>
        <w:t> </w:t>
      </w:r>
      <w:hyperlink r:id="rId64" w:tgtFrame="_blank" w:history="1">
        <w:r w:rsidRPr="00EC3FDF">
          <w:rPr>
            <w:rStyle w:val="Collegamentoipertestuale"/>
            <w:rFonts w:cstheme="minorHAnsi"/>
            <w:color w:val="auto"/>
          </w:rPr>
          <w:t>regio decreto-legge 20 luglio 1934, n. 1404</w:t>
        </w:r>
      </w:hyperlink>
      <w:r w:rsidRPr="00EC3FDF">
        <w:rPr>
          <w:rFonts w:cstheme="minorHAnsi"/>
          <w:shd w:val="clear" w:color="auto" w:fill="FFFFFF"/>
        </w:rPr>
        <w:t>, convertito, con modificazioni, dalla</w:t>
      </w:r>
      <w:r w:rsidRPr="00EC3FDF">
        <w:rPr>
          <w:rStyle w:val="apple-converted-space"/>
          <w:rFonts w:cstheme="minorHAnsi"/>
          <w:shd w:val="clear" w:color="auto" w:fill="FFFFFF"/>
        </w:rPr>
        <w:t> </w:t>
      </w:r>
      <w:hyperlink r:id="rId65" w:tgtFrame="_blank" w:history="1">
        <w:r w:rsidRPr="00EC3FDF">
          <w:rPr>
            <w:rStyle w:val="Collegamentoipertestuale"/>
            <w:rFonts w:cstheme="minorHAnsi"/>
            <w:color w:val="auto"/>
          </w:rPr>
          <w:t>legge 27 maggio 1935, n. 835</w:t>
        </w:r>
      </w:hyperlink>
      <w:r w:rsidRPr="00EC3FDF">
        <w:rPr>
          <w:rFonts w:cstheme="minorHAnsi"/>
          <w:shd w:val="clear" w:color="auto" w:fill="FFFFFF"/>
        </w:rPr>
        <w:t>). - 1. Al</w:t>
      </w:r>
      <w:r w:rsidRPr="00EC3FDF">
        <w:rPr>
          <w:rStyle w:val="apple-converted-space"/>
          <w:rFonts w:cstheme="minorHAnsi"/>
          <w:shd w:val="clear" w:color="auto" w:fill="FFFFFF"/>
        </w:rPr>
        <w:t> </w:t>
      </w:r>
      <w:hyperlink r:id="rId66" w:tgtFrame="_blank" w:history="1">
        <w:r w:rsidRPr="00EC3FDF">
          <w:rPr>
            <w:rStyle w:val="Collegamentoipertestuale"/>
            <w:rFonts w:cstheme="minorHAnsi"/>
            <w:color w:val="auto"/>
          </w:rPr>
          <w:t>regio decreto-legge 20 luglio 1934, n. 1404</w:t>
        </w:r>
      </w:hyperlink>
      <w:r w:rsidRPr="00EC3FDF">
        <w:rPr>
          <w:rFonts w:cstheme="minorHAnsi"/>
          <w:shd w:val="clear" w:color="auto" w:fill="FFFFFF"/>
        </w:rPr>
        <w:t>, convertito, con modificazioni, dalla</w:t>
      </w:r>
      <w:r w:rsidRPr="00EC3FDF">
        <w:rPr>
          <w:rStyle w:val="apple-converted-space"/>
          <w:rFonts w:cstheme="minorHAnsi"/>
          <w:shd w:val="clear" w:color="auto" w:fill="FFFFFF"/>
        </w:rPr>
        <w:t> </w:t>
      </w:r>
      <w:hyperlink r:id="rId67" w:tgtFrame="_blank" w:history="1">
        <w:r w:rsidRPr="00EC3FDF">
          <w:rPr>
            <w:rStyle w:val="Collegamentoipertestuale"/>
            <w:rFonts w:cstheme="minorHAnsi"/>
            <w:color w:val="auto"/>
          </w:rPr>
          <w:t>legge 27 maggio 1935, n. 835</w:t>
        </w:r>
      </w:hyperlink>
      <w:r w:rsidRPr="00EC3FDF">
        <w:rPr>
          <w:rFonts w:cstheme="minorHAnsi"/>
          <w:shd w:val="clear" w:color="auto" w:fill="FFFFFF"/>
        </w:rPr>
        <w:t>, sono apportate le seguenti modificazioni: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 all'articolo 1, quarto comma, le parole «il tribunale per i minorenni e la sezione di corte di appello per i minorenni» sono sostituite dalle seguenti: «la sezione distrettuale del tribunale per le persone, per i minorenni e per le famiglie e la sezione di corte di appello per le persone, per i minorenni e per le famiglie», e le parole «procura della Repubblica presso il tribunale per i minorenni» sono sostituite dalle seguenti: «procura della Repubblica presso il tribunale per le persone, per i minorenni e per le famiglie»;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lastRenderedPageBreak/>
        <w:t>b) gli articoli 2, 3, 4 e 5 sono abrogati;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c) l'articolo 6 è sostituito dal seguente: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6 (Nomina dei giudici onorari esperti e dei consiglieri onorari esperti). - I componenti privati del tribunale per le persone, per i minorenni e per le famiglie e della sezione di corte di appello per le persone, per i minorenni e per le famiglie sono scelti fra i cultori di biologia, di psichiatria, di antropologia criminale, di pedagogia, di psicologia, che abbiano compiuto il trentesimo anno di età.</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I componenti privati sono nominati con decreto del Ministro della giustizia su proposta del Consiglio superiore della magistratura, ed è loro rispettivamente conferito il titolo di giudice onorario esperto, o di consigliere onorario esperto.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Prima di assumere l'esercizio delle loro funzioni, prestano giuramento innanzi al presidente della corte di appello a norma dell'articolo 9, secondo comma, dell'ordinamento giudiziario di cui al</w:t>
      </w:r>
      <w:r w:rsidRPr="00EC3FDF">
        <w:rPr>
          <w:rStyle w:val="apple-converted-space"/>
          <w:rFonts w:cstheme="minorHAnsi"/>
          <w:shd w:val="clear" w:color="auto" w:fill="FFFFFF"/>
        </w:rPr>
        <w:t> </w:t>
      </w:r>
      <w:hyperlink r:id="rId68" w:tgtFrame="_blank" w:history="1">
        <w:r w:rsidRPr="00EC3FDF">
          <w:rPr>
            <w:rStyle w:val="Collegamentoipertestuale"/>
            <w:rFonts w:cstheme="minorHAnsi"/>
            <w:color w:val="auto"/>
          </w:rPr>
          <w:t>regio decreto 30 gennaio 1941, n. 12</w:t>
        </w:r>
      </w:hyperlink>
      <w:r w:rsidRPr="00EC3FDF">
        <w:rPr>
          <w:rFonts w:cstheme="minorHAnsi"/>
          <w:shd w:val="clear" w:color="auto" w:fill="FFFFFF"/>
        </w:rPr>
        <w:t>.</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I componenti privati durano in carica tre anni e possono essere confermati, senza limitazioni nel numero di mandati.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Quando è necessario, sono nominati uno o più supplenti.»;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d) all'articolo 6-bis:</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1) al comma 1, le parole «del tribunale per i minorenni» sono sostituite dalla seguente: «esperto» e le parole «della sezione di corte di appello per i minorenni» sono sostituite dalla seguente: «esperto»;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al comma 3, le parole «del tribunale per i minorenni» sono sostituite dalla seguente: «esperto» e le parole «della sezione di corte di appello per i minorenni» sono sostituite dalla seguente: «esperto»;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e) l'articolo 7 è abrogato;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f) all'articolo 25, commi 1 e 4, le parole: «tribunale per i minorenni», ovunque ricorrono, sono sostituite dalle seguenti: «tribunale per le persone, per i minorenni e per le famiglie»;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g) all'articolo 25-bis:</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1) il primo comma è sostituito dal seguente: «Il pubblico ufficiale o l'incaricato di pubblico servizio, qualora abbia notizia che un minore degli anni diciotto esercita la prostituzione, ne dà immediata notizia alla procura della Repubblica presso il tribunale per le persone, per i minorenni e per le famiglie, che promuove i procedimenti per la tutela del minore e può proporre al tribunale per le persone, per i minorenni e per le famiglie la nomina di un curatore. Il tribunale adotta i provvedimenti utili all'assistenza, anche di carattere psicologico, al recupero e al reinserimento del minore. Nei casi di urgenza il tribunale per le persone, per i minorenni e per le famiglie procede d'ufficio.»;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al secondo comma, le parole «tribunale per i minorenni» sono sostituite dalle seguenti: «tribunale per le persone, per i minorenni e per le famiglie»;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h) all'articolo 28, al secondo comma, le parole «Tribunale per i minorenni» sono sostituite dalle seguenti: «tribunale per le persone, per i minorenni e per le famiglie»;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i) l'articolo 32 è abrogato.».</w:t>
      </w:r>
    </w:p>
    <w:p w:rsidR="00EC3FDF" w:rsidRPr="00EC3FDF" w:rsidRDefault="00EC3FDF" w:rsidP="00EC3FDF">
      <w:pPr>
        <w:shd w:val="clear" w:color="auto" w:fill="FFFFFF"/>
        <w:spacing w:after="100" w:afterAutospacing="1"/>
        <w:rPr>
          <w:rFonts w:cstheme="minorHAnsi"/>
          <w:shd w:val="clear" w:color="auto" w:fill="FFFFFF"/>
        </w:rPr>
      </w:pPr>
      <w:r w:rsidRPr="00EC3FDF">
        <w:rPr>
          <w:rFonts w:cstheme="minorHAnsi"/>
          <w:color w:val="990000"/>
          <w:shd w:val="clear" w:color="auto" w:fill="FFFFFF"/>
        </w:rPr>
        <w:t>Note all'art. 3:</w:t>
      </w:r>
      <w:r w:rsidRPr="00EC3FDF">
        <w:rPr>
          <w:rStyle w:val="apple-converted-space"/>
          <w:rFonts w:cstheme="minorHAnsi"/>
          <w:color w:val="990000"/>
          <w:shd w:val="clear" w:color="auto" w:fill="FFFFFF"/>
        </w:rPr>
        <w:t> </w:t>
      </w:r>
      <w:r w:rsidRPr="00EC3FDF">
        <w:rPr>
          <w:rFonts w:cstheme="minorHAnsi"/>
          <w:color w:val="990000"/>
        </w:rPr>
        <w:br/>
      </w:r>
      <w:r w:rsidRPr="00EC3FDF">
        <w:rPr>
          <w:rFonts w:cstheme="minorHAnsi"/>
          <w:shd w:val="clear" w:color="auto" w:fill="FFFFFF"/>
        </w:rPr>
        <w:t>- Si riportano gli</w:t>
      </w:r>
      <w:r w:rsidRPr="00EC3FDF">
        <w:rPr>
          <w:rStyle w:val="apple-converted-space"/>
          <w:rFonts w:cstheme="minorHAnsi"/>
          <w:shd w:val="clear" w:color="auto" w:fill="FFFFFF"/>
        </w:rPr>
        <w:t> </w:t>
      </w:r>
      <w:hyperlink r:id="rId69" w:tgtFrame="_blank" w:history="1">
        <w:r w:rsidRPr="00EC3FDF">
          <w:rPr>
            <w:rStyle w:val="Collegamentoipertestuale"/>
            <w:rFonts w:cstheme="minorHAnsi"/>
            <w:color w:val="auto"/>
          </w:rPr>
          <w:t>articoli 98-quaterdecies</w:t>
        </w:r>
      </w:hyperlink>
      <w:r w:rsidRPr="00EC3FDF">
        <w:rPr>
          <w:rStyle w:val="apple-converted-space"/>
          <w:rFonts w:cstheme="minorHAnsi"/>
          <w:shd w:val="clear" w:color="auto" w:fill="FFFFFF"/>
        </w:rPr>
        <w:t> </w:t>
      </w:r>
      <w:r w:rsidRPr="00EC3FDF">
        <w:rPr>
          <w:rFonts w:cstheme="minorHAnsi"/>
          <w:shd w:val="clear" w:color="auto" w:fill="FFFFFF"/>
        </w:rPr>
        <w:t>e</w:t>
      </w:r>
      <w:r w:rsidRPr="00EC3FDF">
        <w:rPr>
          <w:rStyle w:val="apple-converted-space"/>
          <w:rFonts w:cstheme="minorHAnsi"/>
          <w:shd w:val="clear" w:color="auto" w:fill="FFFFFF"/>
        </w:rPr>
        <w:t> </w:t>
      </w:r>
      <w:hyperlink r:id="rId70" w:tgtFrame="_blank" w:history="1">
        <w:r w:rsidRPr="00EC3FDF">
          <w:rPr>
            <w:rStyle w:val="Collegamentoipertestuale"/>
            <w:rFonts w:cstheme="minorHAnsi"/>
            <w:color w:val="auto"/>
          </w:rPr>
          <w:t>98-septiesdecies del decreto legislativo 1° agosto 2003, n. 259</w:t>
        </w:r>
      </w:hyperlink>
      <w:r w:rsidRPr="00EC3FDF">
        <w:rPr>
          <w:rStyle w:val="apple-converted-space"/>
          <w:rFonts w:cstheme="minorHAnsi"/>
          <w:shd w:val="clear" w:color="auto" w:fill="FFFFFF"/>
        </w:rPr>
        <w:t> </w:t>
      </w:r>
      <w:r w:rsidRPr="00EC3FDF">
        <w:rPr>
          <w:rFonts w:cstheme="minorHAnsi"/>
          <w:shd w:val="clear" w:color="auto" w:fill="FFFFFF"/>
        </w:rPr>
        <w:t>(</w:t>
      </w:r>
      <w:hyperlink r:id="rId71" w:tgtFrame="_blank" w:history="1">
        <w:r w:rsidRPr="00EC3FDF">
          <w:rPr>
            <w:rStyle w:val="Collegamentoipertestuale"/>
            <w:rFonts w:cstheme="minorHAnsi"/>
            <w:color w:val="auto"/>
          </w:rPr>
          <w:t>Codice delle comunicazioni elettroniche</w:t>
        </w:r>
      </w:hyperlink>
      <w:r w:rsidRPr="00EC3FDF">
        <w:rPr>
          <w:rFonts w:cstheme="minorHAnsi"/>
          <w:shd w:val="clear" w:color="auto" w:fill="FFFFFF"/>
        </w:rPr>
        <w:t>):</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xml:space="preserve">«Art. 98-quater </w:t>
      </w:r>
      <w:proofErr w:type="spellStart"/>
      <w:r w:rsidRPr="00EC3FDF">
        <w:rPr>
          <w:rFonts w:cstheme="minorHAnsi"/>
          <w:shd w:val="clear" w:color="auto" w:fill="FFFFFF"/>
        </w:rPr>
        <w:t>decies</w:t>
      </w:r>
      <w:proofErr w:type="spellEnd"/>
      <w:r w:rsidRPr="00EC3FDF">
        <w:rPr>
          <w:rFonts w:cstheme="minorHAnsi"/>
          <w:shd w:val="clear" w:color="auto" w:fill="FFFFFF"/>
        </w:rPr>
        <w:t xml:space="preserve"> (Obblighi di informazione applicabili ai contratti). - 1. Prima che il consumatore sia vincolato da un contratto o da un'offerta corrispondente, i fornitori di servizi di comunicazione elettronica accessibili al pubblico diversi dai servizi di trasmissione utilizzati per la fornitura di servizi da macchina a macchina forniscono le informazioni necessarie di cui agli</w:t>
      </w:r>
      <w:r w:rsidRPr="00EC3FDF">
        <w:rPr>
          <w:rStyle w:val="apple-converted-space"/>
          <w:rFonts w:cstheme="minorHAnsi"/>
          <w:shd w:val="clear" w:color="auto" w:fill="FFFFFF"/>
        </w:rPr>
        <w:t> </w:t>
      </w:r>
      <w:hyperlink r:id="rId72" w:tgtFrame="_blank" w:history="1">
        <w:r w:rsidRPr="00EC3FDF">
          <w:rPr>
            <w:rStyle w:val="Collegamentoipertestuale"/>
            <w:rFonts w:cstheme="minorHAnsi"/>
            <w:color w:val="auto"/>
          </w:rPr>
          <w:t xml:space="preserve">articoli </w:t>
        </w:r>
        <w:r w:rsidRPr="00EC3FDF">
          <w:rPr>
            <w:rStyle w:val="Collegamentoipertestuale"/>
            <w:rFonts w:cstheme="minorHAnsi"/>
            <w:color w:val="auto"/>
          </w:rPr>
          <w:lastRenderedPageBreak/>
          <w:t>48</w:t>
        </w:r>
      </w:hyperlink>
      <w:r w:rsidRPr="00EC3FDF">
        <w:rPr>
          <w:rStyle w:val="apple-converted-space"/>
          <w:rFonts w:cstheme="minorHAnsi"/>
          <w:shd w:val="clear" w:color="auto" w:fill="FFFFFF"/>
        </w:rPr>
        <w:t> </w:t>
      </w:r>
      <w:r w:rsidRPr="00EC3FDF">
        <w:rPr>
          <w:rFonts w:cstheme="minorHAnsi"/>
          <w:shd w:val="clear" w:color="auto" w:fill="FFFFFF"/>
        </w:rPr>
        <w:t>e</w:t>
      </w:r>
      <w:r w:rsidRPr="00EC3FDF">
        <w:rPr>
          <w:rStyle w:val="apple-converted-space"/>
          <w:rFonts w:cstheme="minorHAnsi"/>
          <w:shd w:val="clear" w:color="auto" w:fill="FFFFFF"/>
        </w:rPr>
        <w:t> </w:t>
      </w:r>
      <w:hyperlink r:id="rId73" w:tgtFrame="_blank" w:history="1">
        <w:r w:rsidRPr="00EC3FDF">
          <w:rPr>
            <w:rStyle w:val="Collegamentoipertestuale"/>
            <w:rFonts w:cstheme="minorHAnsi"/>
            <w:color w:val="auto"/>
          </w:rPr>
          <w:t>49 del Codice del consumo</w:t>
        </w:r>
      </w:hyperlink>
      <w:r w:rsidRPr="00EC3FDF">
        <w:rPr>
          <w:rFonts w:cstheme="minorHAnsi"/>
          <w:shd w:val="clear" w:color="auto" w:fill="FFFFFF"/>
        </w:rPr>
        <w:t>, nonché, in aggiunta, le informazioni elencate all'allegato 8, nella misura in cui tali informazioni riguardino un servizio da loro offerto. Le informazioni sono fornite in modo chiaro e comprensibile su un supporto durevole quale definito all'</w:t>
      </w:r>
      <w:hyperlink r:id="rId74" w:tgtFrame="_blank" w:history="1">
        <w:r w:rsidRPr="00EC3FDF">
          <w:rPr>
            <w:rStyle w:val="Collegamentoipertestuale"/>
            <w:rFonts w:cstheme="minorHAnsi"/>
            <w:color w:val="auto"/>
          </w:rPr>
          <w:t>articolo 45, comma 1, lett. l), del Codice del consumo</w:t>
        </w:r>
      </w:hyperlink>
      <w:r w:rsidRPr="00EC3FDF">
        <w:rPr>
          <w:rStyle w:val="apple-converted-space"/>
          <w:rFonts w:cstheme="minorHAnsi"/>
          <w:shd w:val="clear" w:color="auto" w:fill="FFFFFF"/>
        </w:rPr>
        <w:t> </w:t>
      </w:r>
      <w:r w:rsidRPr="00EC3FDF">
        <w:rPr>
          <w:rFonts w:cstheme="minorHAnsi"/>
          <w:shd w:val="clear" w:color="auto" w:fill="FFFFFF"/>
        </w:rPr>
        <w:t>o, se non è fattibile fornire le informazioni su supporto durevole, sotto forma di documento facilmente scaricabile messo a disposizione dal fornitore, anche tramite modalità digitali. Il fornitore richiama esplicitamente l'attenzione del consumatore sulla disponibilità di tale documento e sull'importanza di scaricarlo a fini di documentazione, riferimento futuro e riproduzione identica. Le informazioni sono fornite in un formato accessibile per gli utenti finali con disabilità conformemente al diritto dell'Unione che armonizza i requisiti di accessibilità dei prodotti e dei servizi.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Le informazioni di cui ai commi 1, 3 e 5 sono fornite anche agli utenti finali che sono microimprese, piccole imprese o organizzazioni senza scopo di lucro, a meno che esse non abbiano espressamente acconsentito a non applicare la totalità o parti di tali disposizioni.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3. I fornitori di servizi di comunicazione elettronica accessibili al pubblico diversi dai servizi di trasmissione utilizzati per la fornitura di servizi da macchina a macchina forniscono ai consumatori una sintesi contrattuale concisa e facilmente leggibile. Tale sintesi individua i principali elementi degli obblighi di informazione in conformità del comma 1. Gli elementi principali comprendono almeno: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 il nome, l'indirizzo e i recapiti del fornitore e, se diversi, i recapiti per eventuali reclami;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b) le principali caratteristiche di ciascun servizio fornito;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c) i rispettivi prezzi per attivare il servizio di comunicazione elettronica e per i costi ricorrenti o legati al consumo, qualora il servizio sia fornito a fronte di un pagamento diretto in denaro;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d) la durata del contratto e le condizioni di rinnovo e risoluzione;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e) la misura in cui i prodotti e i servizi sono progettati per gli utenti finali con disabilità;</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f) con riguardo ai servizi di accesso a internet, una sintesi delle informazioni richieste a norma dell'</w:t>
      </w:r>
      <w:hyperlink r:id="rId75" w:tgtFrame="_blank" w:history="1">
        <w:r w:rsidRPr="00EC3FDF">
          <w:rPr>
            <w:rStyle w:val="Collegamentoipertestuale"/>
            <w:rFonts w:cstheme="minorHAnsi"/>
            <w:color w:val="auto"/>
          </w:rPr>
          <w:t>articolo 4, paragrafo 1, lettere d)</w:t>
        </w:r>
      </w:hyperlink>
      <w:r w:rsidRPr="00EC3FDF">
        <w:rPr>
          <w:rStyle w:val="apple-converted-space"/>
          <w:rFonts w:cstheme="minorHAnsi"/>
          <w:shd w:val="clear" w:color="auto" w:fill="FFFFFF"/>
        </w:rPr>
        <w:t> </w:t>
      </w:r>
      <w:r w:rsidRPr="00EC3FDF">
        <w:rPr>
          <w:rFonts w:cstheme="minorHAnsi"/>
          <w:shd w:val="clear" w:color="auto" w:fill="FFFFFF"/>
        </w:rPr>
        <w:t>ed</w:t>
      </w:r>
      <w:r w:rsidRPr="00EC3FDF">
        <w:rPr>
          <w:rStyle w:val="apple-converted-space"/>
          <w:rFonts w:cstheme="minorHAnsi"/>
          <w:shd w:val="clear" w:color="auto" w:fill="FFFFFF"/>
        </w:rPr>
        <w:t> </w:t>
      </w:r>
      <w:hyperlink r:id="rId76" w:tgtFrame="_blank" w:history="1">
        <w:r w:rsidRPr="00EC3FDF">
          <w:rPr>
            <w:rStyle w:val="Collegamentoipertestuale"/>
            <w:rFonts w:cstheme="minorHAnsi"/>
            <w:color w:val="auto"/>
          </w:rPr>
          <w:t>e), del regolamento (UE) 2015/2120</w:t>
        </w:r>
      </w:hyperlink>
      <w:r w:rsidRPr="00EC3FDF">
        <w:rPr>
          <w:rFonts w:cstheme="minorHAnsi"/>
          <w:shd w:val="clear" w:color="auto" w:fill="FFFFFF"/>
        </w:rPr>
        <w:t>.</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4. I fornitori soggetti agli obblighi di cui al comma 1 forniscono, mediante il modello sintetico di cui al Regolamento di esecuzione (UE) 2019/2243 della Commissione, del 17 dicembre 2019, la sintesi contrattuale gratuitamente ai consumatori, prima della stipula del contratto, anche nel caso di contratti a distanza. Qualora sia impossibile in quel momento, per ragioni tecniche oggettive, fornire la sintesi contrattuale, essa è fornita in seguito senza indebito ritardo; il contratto diventa effettivo quando il consumatore ha confermato il proprio accordo in seguito alla ricezione della sintesi contrattuale.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xml:space="preserve">5. Le informazioni di cui ai commi 1 e 4 diventano parte integrante del contratto e non sono modificate prima della scadenza del termine di cui all'articolo 98-septies </w:t>
      </w:r>
      <w:proofErr w:type="spellStart"/>
      <w:r w:rsidRPr="00EC3FDF">
        <w:rPr>
          <w:rFonts w:cstheme="minorHAnsi"/>
          <w:shd w:val="clear" w:color="auto" w:fill="FFFFFF"/>
        </w:rPr>
        <w:t>decies</w:t>
      </w:r>
      <w:proofErr w:type="spellEnd"/>
      <w:r w:rsidRPr="00EC3FDF">
        <w:rPr>
          <w:rFonts w:cstheme="minorHAnsi"/>
          <w:shd w:val="clear" w:color="auto" w:fill="FFFFFF"/>
        </w:rPr>
        <w:t xml:space="preserve"> comma 1, se non con l'accordo esplicito delle parti contrattuali.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6. Qualora i servizi di accesso a internet o di comunicazione interpersonale accessibili al pubblico siano fatturati sulla base del consumo in termini di tempo o volume, i fornitori offrono ai consumatori il mezzo per monitorare e controllare l'uso di ciascun servizio. Tale mezzo comprende l'accesso a informazioni tempestive sul livello di consumo dei servizi incluso nel piano tariffario. In particolare, i fornitori inviano ai consumatori una notifica prima che siano raggiunti eventuali limiti di consumo stabiliti con proprio provvedimento dall'Autorità, inclusi nel loro piano tariffario nonché quando sia stato pienamente consumato un servizio incluso nel piano tariffario.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7. L'Autorità può imporre ai fornitori di assicurare informazioni aggiuntive in merito al livello di consumo e impedire temporaneamente l'ulteriore utilizzo del servizio corrispondente qualora sia superato il limite finanziario o di volume determinato dall'Autorità.»</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xml:space="preserve">«Art. 98-septies </w:t>
      </w:r>
      <w:proofErr w:type="spellStart"/>
      <w:r w:rsidRPr="00EC3FDF">
        <w:rPr>
          <w:rFonts w:cstheme="minorHAnsi"/>
          <w:shd w:val="clear" w:color="auto" w:fill="FFFFFF"/>
        </w:rPr>
        <w:t>decies</w:t>
      </w:r>
      <w:proofErr w:type="spellEnd"/>
      <w:r w:rsidRPr="00EC3FDF">
        <w:rPr>
          <w:rFonts w:cstheme="minorHAnsi"/>
          <w:shd w:val="clear" w:color="auto" w:fill="FFFFFF"/>
        </w:rPr>
        <w:t xml:space="preserve"> (Durata dei contratti e diritto di recesso). - 1. L'Autorità provvede </w:t>
      </w:r>
      <w:proofErr w:type="spellStart"/>
      <w:r w:rsidRPr="00EC3FDF">
        <w:rPr>
          <w:rFonts w:cstheme="minorHAnsi"/>
          <w:shd w:val="clear" w:color="auto" w:fill="FFFFFF"/>
        </w:rPr>
        <w:t>affinchè</w:t>
      </w:r>
      <w:proofErr w:type="spellEnd"/>
      <w:r w:rsidRPr="00EC3FDF">
        <w:rPr>
          <w:rFonts w:cstheme="minorHAnsi"/>
          <w:shd w:val="clear" w:color="auto" w:fill="FFFFFF"/>
        </w:rPr>
        <w:t xml:space="preserve"> le condizioni e le procedure di recesso dei contratti non fungano da disincentivo al cambiamento </w:t>
      </w:r>
      <w:r w:rsidRPr="00EC3FDF">
        <w:rPr>
          <w:rFonts w:cstheme="minorHAnsi"/>
          <w:shd w:val="clear" w:color="auto" w:fill="FFFFFF"/>
        </w:rPr>
        <w:lastRenderedPageBreak/>
        <w:t xml:space="preserve">di fornitore di servizi e </w:t>
      </w:r>
      <w:proofErr w:type="spellStart"/>
      <w:r w:rsidRPr="00EC3FDF">
        <w:rPr>
          <w:rFonts w:cstheme="minorHAnsi"/>
          <w:shd w:val="clear" w:color="auto" w:fill="FFFFFF"/>
        </w:rPr>
        <w:t>affinchè</w:t>
      </w:r>
      <w:proofErr w:type="spellEnd"/>
      <w:r w:rsidRPr="00EC3FDF">
        <w:rPr>
          <w:rFonts w:cstheme="minorHAnsi"/>
          <w:shd w:val="clear" w:color="auto" w:fill="FFFFFF"/>
        </w:rPr>
        <w:t xml:space="preserve"> i contratti stipulati tra consumatori e fornitori di servizi di comunicazione elettronica accessibili al pubblico, diversi dai servizi di comunicazione interpersonale indipendenti dal numero e dai servizi di trasmissione utilizzati per la fornitura di servizi da macchina a macchina, non impongano un periodo di impegno superiore a 24 mesi con l'obbligo di prevedere che tra le offerte commerciali almeno una abbia una durata massima iniziale di 12 mesi.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Le disposizioni del comma 1 non si applicano alla durata di un contratto a rate se il consumatore ha convenuto in un contratto separato di rateizzare i pagamenti esclusivamente per l'installazione di una connessione fisica, in particolare a reti ad altissima capacità. Un contratto a rate per l'installazione di una connessione fisica non include l'apparecchiatura terminale, a esempio router o modem, e non impedisce ai consumatori di esercitare i loro diritti in virtù del presente articolo.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3. Le disposizioni di cui al comma 1 si applicano anche agli utenti finali che sono microimprese, piccole imprese o organizzazioni senza scopo di lucro, a meno che non abbiano espressamente acconsentito a non applicare tali disposizioni.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4. Se il contratto prevede la proroga automatica di un contratto a durata determinata per servizi di comunicazione elettronica diversi dai servizi di comunicazione interpersonale indipendenti dal numero e dai servizi di trasmissione utilizzati per la fornitura di servizi da macchina a macchina, dopo la proroga l'utente finale ha il diritto di recedere dal contratto in qualsiasi momento con un preavviso di massimo un mese e senza incorrere in alcuna penale né costi di disattivazione, eccetto quelli addebitati per la ricezione del servizio durante il periodo di preavviso. Con almeno due mesi di anticipo rispetto alla proroga automatica del contratto, i fornitori informano l'utente finale, in modo chiaro e tempestivo e su un supporto durevole, circa la fine dell'impegno contrattuale e in merito alle modalità di recesso dal contratto e migliori tariffe relative ai loro servizi. I fornitori offrono agli utenti finali tali informazioni in merito alle migliori tariffe almeno una volta all'anno.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5. Gli utenti finali hanno il diritto di recedere dal contratto ovvero di cambiare operatore, senza incorrere in alcuna penale né costi di disattivazione, al momento dell'avvenuta comunicazione di modifiche delle condizioni contrattuali proposte dal fornitore di servizi di comunicazione elettronica accessibili al pubblico diversi dai servizi di comunicazione interpersonale indipendenti dal numero, tranne nel caso in cui le modifiche proposte siano esclusivamente a vantaggio dell'utente finale, siano di carattere puramente amministrativo e non abbiano alcun effetto negativo sull'utente finale o siano imposte direttamente dal diritto dell'Unione o nazionale. I fornitori informano gli utenti finali, con preavviso non inferiore a trenta giorni, di qualsiasi modifica delle condizioni contrattuali e, al contempo, del loro diritto di recedere dal contratto senza incorrere in alcuna penale né ulteriore costo di disattivazione se non accettano le nuove condizioni. Il diritto di recedere dal contratto può essere esercitato entro sessanta giorni dall'avvenuta comunicazione di modifica delle condizioni contrattuali.</w:t>
      </w:r>
      <w:r w:rsidRPr="00EC3FDF">
        <w:rPr>
          <w:rFonts w:cstheme="minorHAnsi"/>
        </w:rPr>
        <w:br/>
      </w:r>
      <w:r w:rsidRPr="00EC3FDF">
        <w:rPr>
          <w:rFonts w:cstheme="minorHAnsi"/>
          <w:shd w:val="clear" w:color="auto" w:fill="FFFFFF"/>
        </w:rPr>
        <w:t xml:space="preserve">L'Autorità provvede </w:t>
      </w:r>
      <w:proofErr w:type="spellStart"/>
      <w:r w:rsidRPr="00EC3FDF">
        <w:rPr>
          <w:rFonts w:cstheme="minorHAnsi"/>
          <w:shd w:val="clear" w:color="auto" w:fill="FFFFFF"/>
        </w:rPr>
        <w:t>affinchè</w:t>
      </w:r>
      <w:proofErr w:type="spellEnd"/>
      <w:r w:rsidRPr="00EC3FDF">
        <w:rPr>
          <w:rFonts w:cstheme="minorHAnsi"/>
          <w:shd w:val="clear" w:color="auto" w:fill="FFFFFF"/>
        </w:rPr>
        <w:t xml:space="preserve"> la comunicazione sia effettuata in modo chiaro e comprensibile su un supporto durevole.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6. In caso di discrepanza significativa, continuativa o frequentemente ricorrente tra la prestazione effettiva di un servizio di comunicazione elettronica, diverso da un servizio di accesso a internet o da un servizio di comunicazione interpersonale indipendente dal numero, e la prestazione indicata nel contratto il consumatore ha il diritto di risolvere il contratto senza incorrere in alcun costo, fatto salvo il diritto agli indennizzi previsti dal contratto o dalla regolamentazione di settore per i disservizi subiti.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xml:space="preserve">7. Ove un utente finale abbia il diritto di recedere da un contratto per la prestazione di servizi di comunicazione elettronica accessibili al pubblico, diversi da servizi di comunicazione interpersonale indipendenti dal numero, prima della scadenza contrattuale concordata, non è </w:t>
      </w:r>
      <w:r w:rsidRPr="00EC3FDF">
        <w:rPr>
          <w:rFonts w:cstheme="minorHAnsi"/>
          <w:shd w:val="clear" w:color="auto" w:fill="FFFFFF"/>
        </w:rPr>
        <w:lastRenderedPageBreak/>
        <w:t>dovuto alcun corrispettivo, a qualsiasi titolo, a eccezione di quanto previsto per le apparecchiature terminali abbinate al contratto al momento della stipula e fornite dall'operatore che l'utente sceglie di mantenere.</w:t>
      </w:r>
      <w:r w:rsidRPr="00EC3FDF">
        <w:rPr>
          <w:rFonts w:cstheme="minorHAnsi"/>
        </w:rPr>
        <w:br/>
      </w:r>
      <w:r w:rsidRPr="00EC3FDF">
        <w:rPr>
          <w:rFonts w:cstheme="minorHAnsi"/>
          <w:shd w:val="clear" w:color="auto" w:fill="FFFFFF"/>
        </w:rPr>
        <w:t>In tale ipotesi gli importi eventualmente dovuti non superano il loro valore in proporzione al tempo, concordato al momento della conclusione del contratto o la quota rimanente della tariffa per i servizi prestati fino alla fine del contratto, a seconda di quale sia inferiore.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8. L'Autorità può stabilire altri metodi per il calcolo degli importi eventualmente dovuti a condizione che non comportino un livello eccedente quello calcolato in conformità al comma 7. Il fornitore elimina gratuitamente le eventuali condizioni associate all'utilizzo delle apparecchiature terminali su altre reti in un momento specificato dall'Autorità al più tardi al momento del pagamento di tali importi.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9. Per quanto riguarda i servizi di trasmissione utilizzati per servizi da macchina a macchina, del diritto di recesso di cui ai commi 5 e 7 beneficiano solo gli utenti finali che sono consumatori, microimprese, piccole imprese o organizzazioni senza scopo di lucro.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10. Restano ferme le disposizioni di cui all'</w:t>
      </w:r>
      <w:hyperlink r:id="rId77" w:tgtFrame="_blank" w:history="1">
        <w:r w:rsidRPr="00EC3FDF">
          <w:rPr>
            <w:rStyle w:val="Collegamentoipertestuale"/>
            <w:rFonts w:cstheme="minorHAnsi"/>
            <w:color w:val="auto"/>
          </w:rPr>
          <w:t>art. 1 del decreto-legge 31 gennaio 2007 n. 7</w:t>
        </w:r>
      </w:hyperlink>
      <w:r w:rsidRPr="00EC3FDF">
        <w:rPr>
          <w:rFonts w:cstheme="minorHAnsi"/>
          <w:shd w:val="clear" w:color="auto" w:fill="FFFFFF"/>
        </w:rPr>
        <w:t>, convertito con modificazioni dalla</w:t>
      </w:r>
      <w:r w:rsidRPr="00EC3FDF">
        <w:rPr>
          <w:rStyle w:val="apple-converted-space"/>
          <w:rFonts w:cstheme="minorHAnsi"/>
          <w:shd w:val="clear" w:color="auto" w:fill="FFFFFF"/>
        </w:rPr>
        <w:t> </w:t>
      </w:r>
      <w:hyperlink r:id="rId78" w:tgtFrame="_blank" w:history="1">
        <w:r w:rsidRPr="00EC3FDF">
          <w:rPr>
            <w:rStyle w:val="Collegamentoipertestuale"/>
            <w:rFonts w:cstheme="minorHAnsi"/>
            <w:color w:val="auto"/>
          </w:rPr>
          <w:t>legge 2 aprile 2007 n. 40</w:t>
        </w:r>
      </w:hyperlink>
      <w:r w:rsidRPr="00EC3FDF">
        <w:rPr>
          <w:rFonts w:cstheme="minorHAnsi"/>
          <w:shd w:val="clear" w:color="auto" w:fill="FFFFFF"/>
        </w:rPr>
        <w:t>.».</w:t>
      </w:r>
      <w:r w:rsidRPr="00EC3FDF">
        <w:rPr>
          <w:rStyle w:val="apple-converted-space"/>
          <w:rFonts w:cstheme="minorHAnsi"/>
          <w:shd w:val="clear" w:color="auto" w:fill="FFFFFF"/>
        </w:rPr>
        <w:t> </w:t>
      </w:r>
      <w:r w:rsidRPr="00EC3FDF">
        <w:rPr>
          <w:rFonts w:cstheme="minorHAnsi"/>
        </w:rPr>
        <w:br/>
      </w:r>
      <w:r w:rsidRPr="00EC3FDF">
        <w:rPr>
          <w:rFonts w:cstheme="minorHAnsi"/>
        </w:rPr>
        <w:br/>
      </w:r>
      <w:r w:rsidRPr="00EC3FDF">
        <w:rPr>
          <w:rFonts w:cstheme="minorHAnsi"/>
          <w:shd w:val="clear" w:color="auto" w:fill="FFFFFF"/>
        </w:rPr>
        <w:t>- Il</w:t>
      </w:r>
      <w:r w:rsidRPr="00EC3FDF">
        <w:rPr>
          <w:rStyle w:val="apple-converted-space"/>
          <w:rFonts w:cstheme="minorHAnsi"/>
          <w:shd w:val="clear" w:color="auto" w:fill="FFFFFF"/>
        </w:rPr>
        <w:t> </w:t>
      </w:r>
      <w:hyperlink r:id="rId79" w:tgtFrame="_blank" w:history="1">
        <w:r w:rsidRPr="00EC3FDF">
          <w:rPr>
            <w:rStyle w:val="Collegamentoipertestuale"/>
            <w:rFonts w:cstheme="minorHAnsi"/>
            <w:color w:val="auto"/>
          </w:rPr>
          <w:t>regolamento (UE) 2022/2065 del Parlamento europeo e del Consiglio, del 19 ottobre 2022</w:t>
        </w:r>
      </w:hyperlink>
      <w:r w:rsidRPr="00EC3FDF">
        <w:rPr>
          <w:rFonts w:cstheme="minorHAnsi"/>
          <w:shd w:val="clear" w:color="auto" w:fill="FFFFFF"/>
        </w:rPr>
        <w:t>, relativo a un mercato unico dei servizi digitali e che modifica la</w:t>
      </w:r>
      <w:r w:rsidRPr="00EC3FDF">
        <w:rPr>
          <w:rStyle w:val="apple-converted-space"/>
          <w:rFonts w:cstheme="minorHAnsi"/>
          <w:shd w:val="clear" w:color="auto" w:fill="FFFFFF"/>
        </w:rPr>
        <w:t> </w:t>
      </w:r>
      <w:hyperlink r:id="rId80" w:tgtFrame="_blank" w:history="1">
        <w:r w:rsidRPr="00EC3FDF">
          <w:rPr>
            <w:rStyle w:val="Collegamentoipertestuale"/>
            <w:rFonts w:cstheme="minorHAnsi"/>
            <w:color w:val="auto"/>
          </w:rPr>
          <w:t>direttiva 2000/31/CE (regolamento</w:t>
        </w:r>
      </w:hyperlink>
      <w:r w:rsidRPr="00EC3FDF">
        <w:rPr>
          <w:rStyle w:val="apple-converted-space"/>
          <w:rFonts w:cstheme="minorHAnsi"/>
          <w:shd w:val="clear" w:color="auto" w:fill="FFFFFF"/>
        </w:rPr>
        <w:t> </w:t>
      </w:r>
      <w:r w:rsidRPr="00EC3FDF">
        <w:rPr>
          <w:rFonts w:cstheme="minorHAnsi"/>
          <w:shd w:val="clear" w:color="auto" w:fill="FFFFFF"/>
        </w:rPr>
        <w:t>sui servizi digitali), è pubblicato nella G.U.U.E. 27 ottobre 2022, n. L 277.</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Si riporta l'</w:t>
      </w:r>
      <w:hyperlink r:id="rId81" w:tgtFrame="_blank" w:history="1">
        <w:r w:rsidRPr="00EC3FDF">
          <w:rPr>
            <w:rStyle w:val="Collegamentoipertestuale"/>
            <w:rFonts w:cstheme="minorHAnsi"/>
            <w:color w:val="auto"/>
          </w:rPr>
          <w:t>articolo 17, comma 2, della legge 31 dicembre 2009, n. 196</w:t>
        </w:r>
      </w:hyperlink>
      <w:r w:rsidRPr="00EC3FDF">
        <w:rPr>
          <w:rStyle w:val="apple-converted-space"/>
          <w:rFonts w:cstheme="minorHAnsi"/>
          <w:shd w:val="clear" w:color="auto" w:fill="FFFFFF"/>
        </w:rPr>
        <w:t> </w:t>
      </w:r>
      <w:r w:rsidRPr="00EC3FDF">
        <w:rPr>
          <w:rFonts w:cstheme="minorHAnsi"/>
          <w:shd w:val="clear" w:color="auto" w:fill="FFFFFF"/>
        </w:rPr>
        <w:t>(Legge di contabilità e finanza pubblica):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17 (Copertura finanziaria delle leggi). - 1. (Omissis).</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Le leggi di delega comportanti oneri recano i mezzi di copertura necessari per l'adozione dei relativi decreti legislativi. Qualora, in sede di conferimento della delega, per la complessità della materia trattata, non sia possibile procedere alla determinazione degli effetti finanziari derivanti dai decreti legislativi, la quantificazione degli stessi è effettuata al momento dell'adozione dei singoli decreti legislativi. I decreti legislativi dai quali derivano nuovi o maggiori oneri sono emanati solo successivamente all'entrata in vigore dei provvedimenti legislativi che stanzino le occorrenti risorse finanziarie. A ciascuno schema di decreto legislativo è allegata una relazione tecnica, predisposta ai sensi del comma 3, che dà conto della neutralità finanziaria del medesimo decreto ovvero dei nuovi o maggiori oneri da esso derivanti e dei corrispondenti mezzi di copertura.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3. - 14. (Omissis).».</w:t>
      </w:r>
    </w:p>
    <w:p w:rsidR="00EC3FDF" w:rsidRPr="00EC3FDF" w:rsidRDefault="00EC3FDF" w:rsidP="00EC3FDF">
      <w:pPr>
        <w:shd w:val="clear" w:color="auto" w:fill="FFFFFF"/>
        <w:spacing w:after="100" w:afterAutospacing="1"/>
        <w:rPr>
          <w:rFonts w:cstheme="minorHAnsi"/>
          <w:color w:val="990000"/>
          <w:shd w:val="clear" w:color="auto" w:fill="FFFFFF"/>
        </w:rPr>
      </w:pPr>
      <w:r w:rsidRPr="00EC3FDF">
        <w:rPr>
          <w:rFonts w:cstheme="minorHAnsi"/>
          <w:color w:val="990000"/>
          <w:shd w:val="clear" w:color="auto" w:fill="FFFFFF"/>
        </w:rPr>
        <w:t>Note all'art. 4:</w:t>
      </w:r>
      <w:r w:rsidRPr="00EC3FDF">
        <w:rPr>
          <w:rStyle w:val="apple-converted-space"/>
          <w:rFonts w:cstheme="minorHAnsi"/>
          <w:color w:val="990000"/>
          <w:shd w:val="clear" w:color="auto" w:fill="FFFFFF"/>
        </w:rPr>
        <w:t> </w:t>
      </w:r>
      <w:r w:rsidRPr="00EC3FDF">
        <w:rPr>
          <w:rFonts w:cstheme="minorHAnsi"/>
          <w:color w:val="990000"/>
        </w:rPr>
        <w:br/>
      </w:r>
      <w:r w:rsidRPr="00EC3FDF">
        <w:rPr>
          <w:rFonts w:cstheme="minorHAnsi"/>
          <w:shd w:val="clear" w:color="auto" w:fill="FFFFFF"/>
        </w:rPr>
        <w:t>- Si riportano gli</w:t>
      </w:r>
      <w:r w:rsidRPr="00EC3FDF">
        <w:rPr>
          <w:rStyle w:val="apple-converted-space"/>
          <w:rFonts w:cstheme="minorHAnsi"/>
          <w:shd w:val="clear" w:color="auto" w:fill="FFFFFF"/>
        </w:rPr>
        <w:t> </w:t>
      </w:r>
      <w:hyperlink r:id="rId82" w:tgtFrame="_blank" w:history="1">
        <w:r w:rsidRPr="00EC3FDF">
          <w:rPr>
            <w:rStyle w:val="Collegamentoipertestuale"/>
            <w:rFonts w:cstheme="minorHAnsi"/>
            <w:color w:val="auto"/>
          </w:rPr>
          <w:t>articoli 2</w:t>
        </w:r>
      </w:hyperlink>
      <w:r w:rsidRPr="00EC3FDF">
        <w:rPr>
          <w:rStyle w:val="apple-converted-space"/>
          <w:rFonts w:cstheme="minorHAnsi"/>
          <w:shd w:val="clear" w:color="auto" w:fill="FFFFFF"/>
        </w:rPr>
        <w:t> </w:t>
      </w:r>
      <w:r w:rsidRPr="00EC3FDF">
        <w:rPr>
          <w:rFonts w:cstheme="minorHAnsi"/>
          <w:shd w:val="clear" w:color="auto" w:fill="FFFFFF"/>
        </w:rPr>
        <w:t>e</w:t>
      </w:r>
      <w:r w:rsidRPr="00EC3FDF">
        <w:rPr>
          <w:rStyle w:val="apple-converted-space"/>
          <w:rFonts w:cstheme="minorHAnsi"/>
          <w:shd w:val="clear" w:color="auto" w:fill="FFFFFF"/>
        </w:rPr>
        <w:t> </w:t>
      </w:r>
      <w:hyperlink r:id="rId83" w:tgtFrame="_blank" w:history="1">
        <w:r w:rsidRPr="00EC3FDF">
          <w:rPr>
            <w:rStyle w:val="Collegamentoipertestuale"/>
            <w:rFonts w:cstheme="minorHAnsi"/>
            <w:color w:val="auto"/>
          </w:rPr>
          <w:t>3 della legge 5 marzo 1977, n. 54</w:t>
        </w:r>
      </w:hyperlink>
      <w:r w:rsidRPr="00EC3FDF">
        <w:rPr>
          <w:rStyle w:val="apple-converted-space"/>
          <w:rFonts w:cstheme="minorHAnsi"/>
          <w:shd w:val="clear" w:color="auto" w:fill="FFFFFF"/>
        </w:rPr>
        <w:t> </w:t>
      </w:r>
      <w:r w:rsidRPr="00EC3FDF">
        <w:rPr>
          <w:rFonts w:cstheme="minorHAnsi"/>
          <w:shd w:val="clear" w:color="auto" w:fill="FFFFFF"/>
        </w:rPr>
        <w:t>(Disposizioni in materia di giorni festivi):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2. - Le solennità civili previste dalla</w:t>
      </w:r>
      <w:r w:rsidRPr="00EC3FDF">
        <w:rPr>
          <w:rStyle w:val="apple-converted-space"/>
          <w:rFonts w:cstheme="minorHAnsi"/>
          <w:shd w:val="clear" w:color="auto" w:fill="FFFFFF"/>
        </w:rPr>
        <w:t> </w:t>
      </w:r>
      <w:hyperlink r:id="rId84" w:tgtFrame="_blank" w:history="1">
        <w:r w:rsidRPr="00EC3FDF">
          <w:rPr>
            <w:rStyle w:val="Collegamentoipertestuale"/>
            <w:rFonts w:cstheme="minorHAnsi"/>
            <w:color w:val="auto"/>
          </w:rPr>
          <w:t>legge 27 maggio 1949, n. 260</w:t>
        </w:r>
      </w:hyperlink>
      <w:r w:rsidRPr="00EC3FDF">
        <w:rPr>
          <w:rFonts w:cstheme="minorHAnsi"/>
          <w:shd w:val="clear" w:color="auto" w:fill="FFFFFF"/>
        </w:rPr>
        <w:t>, e dalla</w:t>
      </w:r>
      <w:r w:rsidRPr="00EC3FDF">
        <w:rPr>
          <w:rStyle w:val="apple-converted-space"/>
          <w:rFonts w:cstheme="minorHAnsi"/>
          <w:shd w:val="clear" w:color="auto" w:fill="FFFFFF"/>
        </w:rPr>
        <w:t> </w:t>
      </w:r>
      <w:hyperlink r:id="rId85" w:tgtFrame="_blank" w:history="1">
        <w:r w:rsidRPr="00EC3FDF">
          <w:rPr>
            <w:rStyle w:val="Collegamentoipertestuale"/>
            <w:rFonts w:cstheme="minorHAnsi"/>
            <w:color w:val="auto"/>
          </w:rPr>
          <w:t>legge 4 marzo 1958, n. 132</w:t>
        </w:r>
      </w:hyperlink>
      <w:r w:rsidRPr="00EC3FDF">
        <w:rPr>
          <w:rFonts w:cstheme="minorHAnsi"/>
          <w:shd w:val="clear" w:color="auto" w:fill="FFFFFF"/>
        </w:rPr>
        <w:t>, non determinano riduzioni dell'orario di lavoro negli uffici pubblici.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È fatto divieto di consentire negli uffici pubblici riduzioni dell'orario di lavoro che non siano autorizzate da norme di legge.»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3. - Le ricorrenze indicate negli articoli 1 e 2, che cadano nei giorni feriali, non costituiscono giorni di vacanza né possono comportare riduzione di orario per le scuole di ogni ordine e grado.».</w:t>
      </w:r>
    </w:p>
    <w:p w:rsidR="00EC3FDF" w:rsidRPr="00EC3FDF" w:rsidRDefault="00EC3FDF" w:rsidP="00EC3FDF">
      <w:pPr>
        <w:shd w:val="clear" w:color="auto" w:fill="FFFFFF"/>
        <w:spacing w:after="100" w:afterAutospacing="1"/>
        <w:rPr>
          <w:rFonts w:cstheme="minorHAnsi"/>
          <w:shd w:val="clear" w:color="auto" w:fill="FFFFFF"/>
        </w:rPr>
      </w:pPr>
      <w:r w:rsidRPr="00EC3FDF">
        <w:rPr>
          <w:rFonts w:cstheme="minorHAnsi"/>
          <w:color w:val="990000"/>
          <w:shd w:val="clear" w:color="auto" w:fill="FFFFFF"/>
        </w:rPr>
        <w:t>Note all'art. 5:</w:t>
      </w:r>
      <w:r w:rsidRPr="00EC3FDF">
        <w:rPr>
          <w:rStyle w:val="apple-converted-space"/>
          <w:rFonts w:cstheme="minorHAnsi"/>
          <w:color w:val="990000"/>
          <w:shd w:val="clear" w:color="auto" w:fill="FFFFFF"/>
        </w:rPr>
        <w:t> </w:t>
      </w:r>
      <w:r w:rsidRPr="00EC3FDF">
        <w:rPr>
          <w:rFonts w:cstheme="minorHAnsi"/>
          <w:color w:val="990000"/>
        </w:rPr>
        <w:br/>
      </w:r>
      <w:r w:rsidRPr="00EC3FDF">
        <w:rPr>
          <w:rFonts w:cstheme="minorHAnsi"/>
          <w:shd w:val="clear" w:color="auto" w:fill="FFFFFF"/>
        </w:rPr>
        <w:t>- Si riporta l'</w:t>
      </w:r>
      <w:hyperlink r:id="rId86" w:tgtFrame="_blank" w:history="1">
        <w:r w:rsidRPr="00EC3FDF">
          <w:rPr>
            <w:rStyle w:val="Collegamentoipertestuale"/>
            <w:rFonts w:cstheme="minorHAnsi"/>
            <w:color w:val="auto"/>
          </w:rPr>
          <w:t>articolo 17, comma 1, della legge 23 agosto 1988, n. 400</w:t>
        </w:r>
      </w:hyperlink>
      <w:r w:rsidRPr="00EC3FDF">
        <w:rPr>
          <w:rStyle w:val="apple-converted-space"/>
          <w:rFonts w:cstheme="minorHAnsi"/>
          <w:shd w:val="clear" w:color="auto" w:fill="FFFFFF"/>
        </w:rPr>
        <w:t> </w:t>
      </w:r>
      <w:r w:rsidRPr="00EC3FDF">
        <w:rPr>
          <w:rFonts w:cstheme="minorHAnsi"/>
          <w:shd w:val="clear" w:color="auto" w:fill="FFFFFF"/>
        </w:rPr>
        <w:t>(Disciplina dell'attività di Governo e ordinamento della Presidenza del Consiglio dei ministri):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xml:space="preserve">«Art. 17 (Regolamenti). - 1. Con decreto del Presidente della Repubblica, previa deliberazione del </w:t>
      </w:r>
      <w:r w:rsidRPr="00EC3FDF">
        <w:rPr>
          <w:rFonts w:cstheme="minorHAnsi"/>
          <w:shd w:val="clear" w:color="auto" w:fill="FFFFFF"/>
        </w:rPr>
        <w:lastRenderedPageBreak/>
        <w:t>Consiglio dei ministri, sentito il parere del Consiglio di Stato che deve pronunziarsi entro novanta giorni dalla richiesta, possono essere emanati regolamenti per disciplinare: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 l'esecuzione delle leggi e dei decreti legislativi nonché dei regolamenti comunitari;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b) l'attuazione e l'integrazione delle leggi e dei decreti legislativi recanti norme di principio, esclusi quelli relativi a materie riservate alla competenza regionale;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c) le materie in cui manchi la disciplina da parte di leggi o di atti aventi forza di legge, sempre che non si tratti di materie comunque riservate alla legge;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d) l'organizzazione ed il funzionamento delle amministrazioni pubbliche secondo le disposizioni dettate dalla legge;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- 4-ter. (Omissis).».</w:t>
      </w:r>
      <w:r w:rsidRPr="00EC3FDF">
        <w:rPr>
          <w:rStyle w:val="apple-converted-space"/>
          <w:rFonts w:cstheme="minorHAnsi"/>
          <w:shd w:val="clear" w:color="auto" w:fill="FFFFFF"/>
        </w:rPr>
        <w:t> </w:t>
      </w:r>
      <w:r w:rsidRPr="00EC3FDF">
        <w:rPr>
          <w:rFonts w:cstheme="minorHAnsi"/>
        </w:rPr>
        <w:br/>
      </w:r>
      <w:r w:rsidRPr="00EC3FDF">
        <w:rPr>
          <w:rFonts w:cstheme="minorHAnsi"/>
        </w:rPr>
        <w:br/>
      </w:r>
      <w:r w:rsidRPr="00EC3FDF">
        <w:rPr>
          <w:rFonts w:cstheme="minorHAnsi"/>
          <w:shd w:val="clear" w:color="auto" w:fill="FFFFFF"/>
        </w:rPr>
        <w:t>- Si riportano gli</w:t>
      </w:r>
      <w:r w:rsidRPr="00EC3FDF">
        <w:rPr>
          <w:rStyle w:val="apple-converted-space"/>
          <w:rFonts w:cstheme="minorHAnsi"/>
          <w:shd w:val="clear" w:color="auto" w:fill="FFFFFF"/>
        </w:rPr>
        <w:t> </w:t>
      </w:r>
      <w:hyperlink r:id="rId87" w:tgtFrame="_blank" w:history="1">
        <w:r w:rsidRPr="00EC3FDF">
          <w:rPr>
            <w:rStyle w:val="Collegamentoipertestuale"/>
            <w:rFonts w:cstheme="minorHAnsi"/>
            <w:color w:val="auto"/>
          </w:rPr>
          <w:t>articoli 2</w:t>
        </w:r>
      </w:hyperlink>
      <w:r w:rsidRPr="00EC3FDF">
        <w:rPr>
          <w:rFonts w:cstheme="minorHAnsi"/>
          <w:shd w:val="clear" w:color="auto" w:fill="FFFFFF"/>
        </w:rPr>
        <w:t>,</w:t>
      </w:r>
      <w:r w:rsidRPr="00EC3FDF">
        <w:rPr>
          <w:rStyle w:val="apple-converted-space"/>
          <w:rFonts w:cstheme="minorHAnsi"/>
          <w:shd w:val="clear" w:color="auto" w:fill="FFFFFF"/>
        </w:rPr>
        <w:t> </w:t>
      </w:r>
      <w:hyperlink r:id="rId88" w:tgtFrame="_blank" w:history="1">
        <w:r w:rsidRPr="00EC3FDF">
          <w:rPr>
            <w:rStyle w:val="Collegamentoipertestuale"/>
            <w:rFonts w:cstheme="minorHAnsi"/>
            <w:color w:val="auto"/>
          </w:rPr>
          <w:t>3</w:t>
        </w:r>
      </w:hyperlink>
      <w:r w:rsidRPr="00EC3FDF">
        <w:rPr>
          <w:rStyle w:val="apple-converted-space"/>
          <w:rFonts w:cstheme="minorHAnsi"/>
          <w:shd w:val="clear" w:color="auto" w:fill="FFFFFF"/>
        </w:rPr>
        <w:t> </w:t>
      </w:r>
      <w:r w:rsidRPr="00EC3FDF">
        <w:rPr>
          <w:rFonts w:cstheme="minorHAnsi"/>
          <w:shd w:val="clear" w:color="auto" w:fill="FFFFFF"/>
        </w:rPr>
        <w:t>e</w:t>
      </w:r>
      <w:r w:rsidRPr="00EC3FDF">
        <w:rPr>
          <w:rStyle w:val="apple-converted-space"/>
          <w:rFonts w:cstheme="minorHAnsi"/>
          <w:shd w:val="clear" w:color="auto" w:fill="FFFFFF"/>
        </w:rPr>
        <w:t> </w:t>
      </w:r>
      <w:hyperlink r:id="rId89" w:tgtFrame="_blank" w:history="1">
        <w:r w:rsidRPr="00EC3FDF">
          <w:rPr>
            <w:rStyle w:val="Collegamentoipertestuale"/>
            <w:rFonts w:cstheme="minorHAnsi"/>
            <w:color w:val="auto"/>
          </w:rPr>
          <w:t>5-bis del decreto del Presidente della Repubblica 24 giugno 1998, n. 249</w:t>
        </w:r>
      </w:hyperlink>
      <w:r w:rsidRPr="00EC3FDF">
        <w:rPr>
          <w:rStyle w:val="apple-converted-space"/>
          <w:rFonts w:cstheme="minorHAnsi"/>
          <w:shd w:val="clear" w:color="auto" w:fill="FFFFFF"/>
        </w:rPr>
        <w:t> </w:t>
      </w:r>
      <w:r w:rsidRPr="00EC3FDF">
        <w:rPr>
          <w:rFonts w:cstheme="minorHAnsi"/>
          <w:shd w:val="clear" w:color="auto" w:fill="FFFFFF"/>
        </w:rPr>
        <w:t>(Regolamento recante lo statuto delle studentesse e degli studenti della scuola secondaria):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2 (Diritti). - 1. Lo studente ha diritto ad una formazione culturale e professionale qualificata che rispetti e valorizzi, anche attraverso l'orientamento, l'identità di ciascuno e sia aperta alla pluralità delle idee. La scuola persegue la continuità dell'apprendimento e valorizza le inclinazioni personali degli studenti, anche attraverso una adeguata informazione, la possibilità di formulare richieste, di sviluppare temi liberamente scelti e di realizzare iniziative autonome.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La comunità scolastica promuove la solidarietà tra i suoi componenti e tutela il diritto dello studente alla riservatezza.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3. Lo studente ha diritto di essere informato sulle decisioni e sulle norme che regolano la vita della scuola.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4. Lo studente ha diritto alla partecipazione attiva e responsabile alla vita della scuola. I dirigenti scolastici e i docenti, con le modalità previste dal regolamento di istituto, attivano con gli studenti un dialogo costruttivo sulle scelte di loro competenza in tema di programmazione e definizione degli obiettivi didattici, di organizzazione della scuola, di criteri di valutazione, di scelta dei libri e del materiale didattico. Lo studente ha inoltre diritto a una valutazione trasparente e tempestiva, volta ad attivare un processo di autovalutazione che lo conduca ad individuare i propri punti di forza e di debolezza e a migliorare il proprio rendimento.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5. Nei casi in cui una decisione influisca in modo rilevante sull'organizzazione della scuola gli studenti della scuola secondaria superiore, anche su loro richiesta, possono essere chiamati ad esprimere la loro opinione mediante una consultazione; analogamente negli stessi casi e con le stesse modalità possono essere consultati gli studenti della scuola media o i loro genitori.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6. Gli studenti hanno diritto alla libertà di apprendimento ed esercitano autonomamente il diritto di scelta tra le attività curricolari integrative e tra le attività aggiuntive facoltative offerte dalla scuola. Le attività didattiche curricolari e le attività aggiuntive facoltative sono organizzate secondo tempi e modalità che tengono conto dei ritmi di apprendimento e delle esigenze di vita degli studenti.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7. Gli studenti stranieri hanno diritto al rispetto della vita culturale e religiosa della comunità alla quale appartengono. La scuola promuove e favorisce iniziative volte alla accoglienza e alla tutela della loro lingua e cultura e alla realizzazione di attività interculturali.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8. La scuola si impegna a porre progressivamente in essere le condizioni per assicurare: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 un ambiente favorevole alla crescita integrale della persona e un servizio educativo-didattico di qualità;</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b) offerte formative aggiuntive e integrative, anche mediante il sostegno di iniziative liberamente assunte dagli studenti e dalle loro associazioni;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xml:space="preserve">c) iniziative concrete per il recupero di situazioni di ritardo e di svantaggio, nonché per la </w:t>
      </w:r>
      <w:r w:rsidRPr="00EC3FDF">
        <w:rPr>
          <w:rFonts w:cstheme="minorHAnsi"/>
          <w:shd w:val="clear" w:color="auto" w:fill="FFFFFF"/>
        </w:rPr>
        <w:lastRenderedPageBreak/>
        <w:t>prevenzione e il recupero della dispersione scolastica;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d) la salubrità e la sicurezza degli ambienti, che debbono essere adeguati a tutti gli studenti anche con handicap;</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e) la disponibilità di un'adeguata strumentazione tecnologica;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f) servizi di sostegno e promozione della salute e di assistenza psicologica.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9. La scuola garantisce e disciplina nel proprio regolamento l'esercizio del diritto di riunione e di assemblea degli studenti, a livello di classe, di corso e di istituto.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10. I regolamenti delle singole istituzioni garantiscono e disciplinano l'esercizio del diritto di associazione all'interno della scuola secondaria superiore, del diritto degli studenti singoli e associati a svolgere iniziative all'interno della scuola, nonché l'utilizzo di locali da parte di studenti e delle associazioni di cui fanno parte. I regolamenti delle scuole favoriscono inoltre la continuità del legame con gli ex studenti e con le loro associazioni.»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«Art. 3 (Doveri). - 1. Gli studenti sono tenuti a frequentare regolarmente i corsi e ad assolvere assiduamente agli impegni di studio.</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 xml:space="preserve">2. Gli studenti sono tenuti ad avere nei confronti del capo d'istituto, dei docenti, del personale tutto della scuola e dei loro compagni lo stesso rispetto, anche formale, che chiedono per </w:t>
      </w:r>
      <w:proofErr w:type="gramStart"/>
      <w:r w:rsidRPr="00EC3FDF">
        <w:rPr>
          <w:rFonts w:cstheme="minorHAnsi"/>
          <w:shd w:val="clear" w:color="auto" w:fill="FFFFFF"/>
        </w:rPr>
        <w:t>se</w:t>
      </w:r>
      <w:proofErr w:type="gramEnd"/>
      <w:r w:rsidRPr="00EC3FDF">
        <w:rPr>
          <w:rFonts w:cstheme="minorHAnsi"/>
          <w:shd w:val="clear" w:color="auto" w:fill="FFFFFF"/>
        </w:rPr>
        <w:t xml:space="preserve"> stessi.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3. Nell'esercizio dei loro diritti e nell'adempimento dei loro doveri gli studenti sono tenuti a mantenere un comportamento corretto e coerente con i principi di cui all'articolo 1.</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4. Gli studenti sono tenuti ad osservare le disposizioni organizzative e di sicurezza dettate dai regolamenti dei singoli istituti.</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5. Gli studenti sono tenuti ad utilizzare correttamente le strutture, i macchinari e i sussidi didattici e a comportarsi nella vita scolastica in modo da non arrecare danni al patrimonio della scuola.</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6. Gli studenti condividono la responsabilità di rendere accogliente l'ambiente scolastico e averne cura come importante fattore di qualità della vita della scuola.»</w:t>
      </w:r>
      <w:r w:rsidRPr="00EC3FDF">
        <w:rPr>
          <w:rStyle w:val="apple-converted-space"/>
          <w:rFonts w:cstheme="minorHAnsi"/>
          <w:shd w:val="clear" w:color="auto" w:fill="FFFFFF"/>
        </w:rPr>
        <w:t> </w:t>
      </w:r>
      <w:r w:rsidRPr="00EC3FDF">
        <w:rPr>
          <w:rFonts w:cstheme="minorHAnsi"/>
        </w:rPr>
        <w:br/>
      </w:r>
      <w:r w:rsidRPr="00EC3FDF">
        <w:rPr>
          <w:rFonts w:cstheme="minorHAnsi"/>
        </w:rPr>
        <w:br/>
      </w:r>
      <w:r w:rsidRPr="00EC3FDF">
        <w:rPr>
          <w:rFonts w:cstheme="minorHAnsi"/>
          <w:shd w:val="clear" w:color="auto" w:fill="FFFFFF"/>
        </w:rPr>
        <w:t>«Art. 5-bis (Patto educativo di corresponsabilità).</w:t>
      </w:r>
      <w:r w:rsidRPr="00EC3FDF">
        <w:rPr>
          <w:rFonts w:cstheme="minorHAnsi"/>
        </w:rPr>
        <w:br/>
      </w:r>
      <w:r w:rsidRPr="00EC3FDF">
        <w:rPr>
          <w:rFonts w:cstheme="minorHAnsi"/>
          <w:shd w:val="clear" w:color="auto" w:fill="FFFFFF"/>
        </w:rPr>
        <w:t>- 1. Contestualmente all'iscrizione alla singola istituzione scolastica, è richiesta la sottoscrizione da parte dei genitori e degli studenti di un Patto educativo di corresponsabilità, finalizzato a definire in maniera dettagliata e condivisa diritti e doveri nel rapporto tra istituzione scolastica autonoma, studenti e famiglie.</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2. I singoli regolamenti di istituto disciplinano le procedure di sottoscrizione nonché di elaborazione e revisione condivisa, del patto di cui al comma 1.</w:t>
      </w:r>
      <w:r w:rsidRPr="00EC3FDF">
        <w:rPr>
          <w:rStyle w:val="apple-converted-space"/>
          <w:rFonts w:cstheme="minorHAnsi"/>
          <w:shd w:val="clear" w:color="auto" w:fill="FFFFFF"/>
        </w:rPr>
        <w:t> </w:t>
      </w:r>
      <w:r w:rsidRPr="00EC3FDF">
        <w:rPr>
          <w:rFonts w:cstheme="minorHAnsi"/>
        </w:rPr>
        <w:br/>
      </w:r>
      <w:r w:rsidRPr="00EC3FDF">
        <w:rPr>
          <w:rFonts w:cstheme="minorHAnsi"/>
          <w:shd w:val="clear" w:color="auto" w:fill="FFFFFF"/>
        </w:rPr>
        <w:t>3. Nell'ambito delle prime due settimane di inizio delle attività didattiche, ciascuna istituzione scolastica pone in essere le iniziative più idonee per le opportune attività di accoglienza dei nuovi studenti, per la presentazione e la condivisione dello statuto delle studentesse e degli studenti, del piano dell'offerta formativa, dei regolamenti di istituto e del patto educativo di corresponsabilità.».</w:t>
      </w:r>
    </w:p>
    <w:p w:rsidR="00EC3FDF" w:rsidRPr="00EC3FDF" w:rsidRDefault="00EC3FDF" w:rsidP="005516EA">
      <w:pPr>
        <w:shd w:val="clear" w:color="auto" w:fill="FFFFFF"/>
        <w:spacing w:after="100" w:afterAutospacing="1"/>
        <w:rPr>
          <w:rFonts w:ascii="Titillium Web" w:eastAsia="Times New Roman" w:hAnsi="Titillium Web" w:cs="Times New Roman"/>
          <w:sz w:val="27"/>
          <w:szCs w:val="27"/>
          <w:lang w:eastAsia="it-IT"/>
        </w:rPr>
      </w:pPr>
    </w:p>
    <w:p w:rsidR="00A85F96" w:rsidRPr="005516EA" w:rsidRDefault="00A85F96" w:rsidP="005516EA"/>
    <w:sectPr w:rsidR="00A85F96" w:rsidRPr="005516E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tillium Web">
    <w:panose1 w:val="00000500000000000000"/>
    <w:charset w:val="4D"/>
    <w:family w:val="auto"/>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EA"/>
    <w:rsid w:val="005516EA"/>
    <w:rsid w:val="00A85F96"/>
    <w:rsid w:val="00DE581E"/>
    <w:rsid w:val="00EC3F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8849F48"/>
  <w15:chartTrackingRefBased/>
  <w15:docId w15:val="{907109FC-19E4-4846-A987-393E5092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5516EA"/>
    <w:pPr>
      <w:spacing w:before="100" w:beforeAutospacing="1" w:after="100" w:afterAutospacing="1"/>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5516EA"/>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516EA"/>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5516EA"/>
    <w:rPr>
      <w:rFonts w:ascii="Times New Roman" w:eastAsia="Times New Roman" w:hAnsi="Times New Roman" w:cs="Times New Roman"/>
      <w:b/>
      <w:bCs/>
      <w:sz w:val="27"/>
      <w:szCs w:val="27"/>
      <w:lang w:eastAsia="it-IT"/>
    </w:rPr>
  </w:style>
  <w:style w:type="paragraph" w:customStyle="1" w:styleId="grassetto">
    <w:name w:val="grassetto"/>
    <w:basedOn w:val="Normale"/>
    <w:rsid w:val="005516EA"/>
    <w:pPr>
      <w:spacing w:before="100" w:beforeAutospacing="1" w:after="100" w:afterAutospacing="1"/>
    </w:pPr>
    <w:rPr>
      <w:rFonts w:ascii="Times New Roman" w:eastAsia="Times New Roman" w:hAnsi="Times New Roman" w:cs="Times New Roman"/>
      <w:lang w:eastAsia="it-IT"/>
    </w:rPr>
  </w:style>
  <w:style w:type="paragraph" w:customStyle="1" w:styleId="sottotitoloexp">
    <w:name w:val="sottotitoloexp"/>
    <w:basedOn w:val="Normale"/>
    <w:rsid w:val="005516EA"/>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Carpredefinitoparagrafo"/>
    <w:rsid w:val="005516EA"/>
  </w:style>
  <w:style w:type="paragraph" w:styleId="PreformattatoHTML">
    <w:name w:val="HTML Preformatted"/>
    <w:basedOn w:val="Normale"/>
    <w:link w:val="PreformattatoHTMLCarattere"/>
    <w:uiPriority w:val="99"/>
    <w:semiHidden/>
    <w:unhideWhenUsed/>
    <w:rsid w:val="00551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516EA"/>
    <w:rPr>
      <w:rFonts w:ascii="Courier New" w:eastAsia="Times New Roman" w:hAnsi="Courier New" w:cs="Courier New"/>
      <w:sz w:val="20"/>
      <w:szCs w:val="20"/>
      <w:lang w:eastAsia="it-IT"/>
    </w:rPr>
  </w:style>
  <w:style w:type="paragraph" w:customStyle="1" w:styleId="formula-introduttiva">
    <w:name w:val="formula-introduttiva"/>
    <w:basedOn w:val="Normale"/>
    <w:rsid w:val="005516EA"/>
    <w:pPr>
      <w:spacing w:before="100" w:beforeAutospacing="1" w:after="100" w:afterAutospacing="1"/>
    </w:pPr>
    <w:rPr>
      <w:rFonts w:ascii="Times New Roman" w:eastAsia="Times New Roman" w:hAnsi="Times New Roman" w:cs="Times New Roman"/>
      <w:lang w:eastAsia="it-IT"/>
    </w:rPr>
  </w:style>
  <w:style w:type="character" w:styleId="Collegamentoipertestuale">
    <w:name w:val="Hyperlink"/>
    <w:basedOn w:val="Carpredefinitoparagrafo"/>
    <w:uiPriority w:val="99"/>
    <w:semiHidden/>
    <w:unhideWhenUsed/>
    <w:rsid w:val="005516EA"/>
    <w:rPr>
      <w:color w:val="0000FF"/>
      <w:u w:val="single"/>
    </w:rPr>
  </w:style>
  <w:style w:type="character" w:customStyle="1" w:styleId="comma-num-akn">
    <w:name w:val="comma-num-akn"/>
    <w:basedOn w:val="Carpredefinitoparagrafo"/>
    <w:rsid w:val="005516EA"/>
  </w:style>
  <w:style w:type="character" w:customStyle="1" w:styleId="arttextincomma">
    <w:name w:val="art_text_in_comma"/>
    <w:basedOn w:val="Carpredefinitoparagrafo"/>
    <w:rsid w:val="005516EA"/>
  </w:style>
  <w:style w:type="paragraph" w:customStyle="1" w:styleId="signature-first-akn">
    <w:name w:val="signature-first-akn"/>
    <w:basedOn w:val="Normale"/>
    <w:rsid w:val="005516EA"/>
    <w:pPr>
      <w:spacing w:before="100" w:beforeAutospacing="1" w:after="100" w:afterAutospacing="1"/>
    </w:pPr>
    <w:rPr>
      <w:rFonts w:ascii="Times New Roman" w:eastAsia="Times New Roman" w:hAnsi="Times New Roman" w:cs="Times New Roman"/>
      <w:lang w:eastAsia="it-IT"/>
    </w:rPr>
  </w:style>
  <w:style w:type="paragraph" w:customStyle="1" w:styleId="signature-center-akn">
    <w:name w:val="signature-center-akn"/>
    <w:basedOn w:val="Normale"/>
    <w:rsid w:val="005516EA"/>
    <w:pPr>
      <w:spacing w:before="100" w:beforeAutospacing="1" w:after="100" w:afterAutospacing="1"/>
    </w:pPr>
    <w:rPr>
      <w:rFonts w:ascii="Times New Roman" w:eastAsia="Times New Roman" w:hAnsi="Times New Roman" w:cs="Times New Roman"/>
      <w:lang w:eastAsia="it-IT"/>
    </w:rPr>
  </w:style>
  <w:style w:type="paragraph" w:customStyle="1" w:styleId="signature-last-akn">
    <w:name w:val="signature-last-akn"/>
    <w:basedOn w:val="Normale"/>
    <w:rsid w:val="005516EA"/>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561890">
      <w:bodyDiv w:val="1"/>
      <w:marLeft w:val="0"/>
      <w:marRight w:val="0"/>
      <w:marTop w:val="0"/>
      <w:marBottom w:val="0"/>
      <w:divBdr>
        <w:top w:val="none" w:sz="0" w:space="0" w:color="auto"/>
        <w:left w:val="none" w:sz="0" w:space="0" w:color="auto"/>
        <w:bottom w:val="none" w:sz="0" w:space="0" w:color="auto"/>
        <w:right w:val="none" w:sz="0" w:space="0" w:color="auto"/>
      </w:divBdr>
      <w:divsChild>
        <w:div w:id="353001859">
          <w:marLeft w:val="75"/>
          <w:marRight w:val="75"/>
          <w:marTop w:val="0"/>
          <w:marBottom w:val="0"/>
          <w:divBdr>
            <w:top w:val="none" w:sz="0" w:space="0" w:color="auto"/>
            <w:left w:val="none" w:sz="0" w:space="0" w:color="auto"/>
            <w:bottom w:val="none" w:sz="0" w:space="0" w:color="auto"/>
            <w:right w:val="none" w:sz="0" w:space="0" w:color="auto"/>
          </w:divBdr>
          <w:divsChild>
            <w:div w:id="1493905698">
              <w:marLeft w:val="0"/>
              <w:marRight w:val="0"/>
              <w:marTop w:val="0"/>
              <w:marBottom w:val="0"/>
              <w:divBdr>
                <w:top w:val="none" w:sz="0" w:space="0" w:color="auto"/>
                <w:left w:val="none" w:sz="0" w:space="0" w:color="auto"/>
                <w:bottom w:val="none" w:sz="0" w:space="0" w:color="auto"/>
                <w:right w:val="none" w:sz="0" w:space="0" w:color="auto"/>
              </w:divBdr>
            </w:div>
            <w:div w:id="782388103">
              <w:marLeft w:val="0"/>
              <w:marRight w:val="0"/>
              <w:marTop w:val="0"/>
              <w:marBottom w:val="0"/>
              <w:divBdr>
                <w:top w:val="none" w:sz="0" w:space="0" w:color="auto"/>
                <w:left w:val="none" w:sz="0" w:space="0" w:color="auto"/>
                <w:bottom w:val="none" w:sz="0" w:space="0" w:color="auto"/>
                <w:right w:val="none" w:sz="0" w:space="0" w:color="auto"/>
              </w:divBdr>
              <w:divsChild>
                <w:div w:id="343671883">
                  <w:marLeft w:val="0"/>
                  <w:marRight w:val="0"/>
                  <w:marTop w:val="0"/>
                  <w:marBottom w:val="0"/>
                  <w:divBdr>
                    <w:top w:val="none" w:sz="0" w:space="0" w:color="auto"/>
                    <w:left w:val="none" w:sz="0" w:space="0" w:color="auto"/>
                    <w:bottom w:val="none" w:sz="0" w:space="0" w:color="auto"/>
                    <w:right w:val="none" w:sz="0" w:space="0" w:color="auto"/>
                  </w:divBdr>
                  <w:divsChild>
                    <w:div w:id="1106923676">
                      <w:marLeft w:val="0"/>
                      <w:marRight w:val="0"/>
                      <w:marTop w:val="0"/>
                      <w:marBottom w:val="0"/>
                      <w:divBdr>
                        <w:top w:val="none" w:sz="0" w:space="0" w:color="auto"/>
                        <w:left w:val="none" w:sz="0" w:space="0" w:color="auto"/>
                        <w:bottom w:val="none" w:sz="0" w:space="0" w:color="auto"/>
                        <w:right w:val="none" w:sz="0" w:space="0" w:color="auto"/>
                      </w:divBdr>
                      <w:divsChild>
                        <w:div w:id="1870413674">
                          <w:marLeft w:val="0"/>
                          <w:marRight w:val="0"/>
                          <w:marTop w:val="0"/>
                          <w:marBottom w:val="0"/>
                          <w:divBdr>
                            <w:top w:val="none" w:sz="0" w:space="0" w:color="auto"/>
                            <w:left w:val="none" w:sz="0" w:space="0" w:color="auto"/>
                            <w:bottom w:val="none" w:sz="0" w:space="0" w:color="auto"/>
                            <w:right w:val="none" w:sz="0" w:space="0" w:color="auto"/>
                          </w:divBdr>
                        </w:div>
                        <w:div w:id="1658459795">
                          <w:marLeft w:val="0"/>
                          <w:marRight w:val="0"/>
                          <w:marTop w:val="0"/>
                          <w:marBottom w:val="0"/>
                          <w:divBdr>
                            <w:top w:val="none" w:sz="0" w:space="0" w:color="auto"/>
                            <w:left w:val="none" w:sz="0" w:space="0" w:color="auto"/>
                            <w:bottom w:val="none" w:sz="0" w:space="0" w:color="auto"/>
                            <w:right w:val="none" w:sz="0" w:space="0" w:color="auto"/>
                          </w:divBdr>
                        </w:div>
                        <w:div w:id="228731865">
                          <w:marLeft w:val="0"/>
                          <w:marRight w:val="0"/>
                          <w:marTop w:val="0"/>
                          <w:marBottom w:val="0"/>
                          <w:divBdr>
                            <w:top w:val="none" w:sz="0" w:space="0" w:color="auto"/>
                            <w:left w:val="none" w:sz="0" w:space="0" w:color="auto"/>
                            <w:bottom w:val="none" w:sz="0" w:space="0" w:color="auto"/>
                            <w:right w:val="none" w:sz="0" w:space="0" w:color="auto"/>
                          </w:divBdr>
                        </w:div>
                        <w:div w:id="1020163184">
                          <w:marLeft w:val="0"/>
                          <w:marRight w:val="0"/>
                          <w:marTop w:val="0"/>
                          <w:marBottom w:val="0"/>
                          <w:divBdr>
                            <w:top w:val="none" w:sz="0" w:space="0" w:color="auto"/>
                            <w:left w:val="none" w:sz="0" w:space="0" w:color="auto"/>
                            <w:bottom w:val="none" w:sz="0" w:space="0" w:color="auto"/>
                            <w:right w:val="none" w:sz="0" w:space="0" w:color="auto"/>
                          </w:divBdr>
                        </w:div>
                        <w:div w:id="611136773">
                          <w:marLeft w:val="0"/>
                          <w:marRight w:val="0"/>
                          <w:marTop w:val="0"/>
                          <w:marBottom w:val="0"/>
                          <w:divBdr>
                            <w:top w:val="none" w:sz="0" w:space="0" w:color="auto"/>
                            <w:left w:val="none" w:sz="0" w:space="0" w:color="auto"/>
                            <w:bottom w:val="none" w:sz="0" w:space="0" w:color="auto"/>
                            <w:right w:val="none" w:sz="0" w:space="0" w:color="auto"/>
                          </w:divBdr>
                        </w:div>
                        <w:div w:id="131142994">
                          <w:marLeft w:val="0"/>
                          <w:marRight w:val="0"/>
                          <w:marTop w:val="0"/>
                          <w:marBottom w:val="0"/>
                          <w:divBdr>
                            <w:top w:val="none" w:sz="0" w:space="0" w:color="auto"/>
                            <w:left w:val="none" w:sz="0" w:space="0" w:color="auto"/>
                            <w:bottom w:val="none" w:sz="0" w:space="0" w:color="auto"/>
                            <w:right w:val="none" w:sz="0" w:space="0" w:color="auto"/>
                          </w:divBdr>
                        </w:div>
                        <w:div w:id="2053382411">
                          <w:marLeft w:val="0"/>
                          <w:marRight w:val="0"/>
                          <w:marTop w:val="0"/>
                          <w:marBottom w:val="0"/>
                          <w:divBdr>
                            <w:top w:val="none" w:sz="0" w:space="0" w:color="auto"/>
                            <w:left w:val="none" w:sz="0" w:space="0" w:color="auto"/>
                            <w:bottom w:val="none" w:sz="0" w:space="0" w:color="auto"/>
                            <w:right w:val="none" w:sz="0" w:space="0" w:color="auto"/>
                          </w:divBdr>
                        </w:div>
                        <w:div w:id="80014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408520">
          <w:marLeft w:val="75"/>
          <w:marRight w:val="75"/>
          <w:marTop w:val="0"/>
          <w:marBottom w:val="0"/>
          <w:divBdr>
            <w:top w:val="none" w:sz="0" w:space="0" w:color="auto"/>
            <w:left w:val="none" w:sz="0" w:space="0" w:color="auto"/>
            <w:bottom w:val="none" w:sz="0" w:space="0" w:color="auto"/>
            <w:right w:val="none" w:sz="0" w:space="0" w:color="auto"/>
          </w:divBdr>
          <w:divsChild>
            <w:div w:id="1810395602">
              <w:marLeft w:val="0"/>
              <w:marRight w:val="0"/>
              <w:marTop w:val="0"/>
              <w:marBottom w:val="0"/>
              <w:divBdr>
                <w:top w:val="none" w:sz="0" w:space="0" w:color="auto"/>
                <w:left w:val="none" w:sz="0" w:space="0" w:color="auto"/>
                <w:bottom w:val="none" w:sz="0" w:space="0" w:color="auto"/>
                <w:right w:val="none" w:sz="0" w:space="0" w:color="auto"/>
              </w:divBdr>
              <w:divsChild>
                <w:div w:id="10617178">
                  <w:marLeft w:val="0"/>
                  <w:marRight w:val="0"/>
                  <w:marTop w:val="0"/>
                  <w:marBottom w:val="0"/>
                  <w:divBdr>
                    <w:top w:val="none" w:sz="0" w:space="0" w:color="auto"/>
                    <w:left w:val="none" w:sz="0" w:space="0" w:color="auto"/>
                    <w:bottom w:val="none" w:sz="0" w:space="0" w:color="auto"/>
                    <w:right w:val="none" w:sz="0" w:space="0" w:color="auto"/>
                  </w:divBdr>
                  <w:divsChild>
                    <w:div w:id="574558466">
                      <w:marLeft w:val="0"/>
                      <w:marRight w:val="0"/>
                      <w:marTop w:val="0"/>
                      <w:marBottom w:val="0"/>
                      <w:divBdr>
                        <w:top w:val="none" w:sz="0" w:space="0" w:color="auto"/>
                        <w:left w:val="none" w:sz="0" w:space="0" w:color="auto"/>
                        <w:bottom w:val="none" w:sz="0" w:space="0" w:color="auto"/>
                        <w:right w:val="none" w:sz="0" w:space="0" w:color="auto"/>
                      </w:divBdr>
                      <w:divsChild>
                        <w:div w:id="102382951">
                          <w:marLeft w:val="0"/>
                          <w:marRight w:val="0"/>
                          <w:marTop w:val="0"/>
                          <w:marBottom w:val="0"/>
                          <w:divBdr>
                            <w:top w:val="none" w:sz="0" w:space="0" w:color="auto"/>
                            <w:left w:val="none" w:sz="0" w:space="0" w:color="auto"/>
                            <w:bottom w:val="none" w:sz="0" w:space="0" w:color="auto"/>
                            <w:right w:val="none" w:sz="0" w:space="0" w:color="auto"/>
                          </w:divBdr>
                        </w:div>
                        <w:div w:id="874539457">
                          <w:marLeft w:val="0"/>
                          <w:marRight w:val="0"/>
                          <w:marTop w:val="0"/>
                          <w:marBottom w:val="0"/>
                          <w:divBdr>
                            <w:top w:val="none" w:sz="0" w:space="0" w:color="auto"/>
                            <w:left w:val="none" w:sz="0" w:space="0" w:color="auto"/>
                            <w:bottom w:val="none" w:sz="0" w:space="0" w:color="auto"/>
                            <w:right w:val="none" w:sz="0" w:space="0" w:color="auto"/>
                          </w:divBdr>
                        </w:div>
                        <w:div w:id="739254839">
                          <w:marLeft w:val="0"/>
                          <w:marRight w:val="0"/>
                          <w:marTop w:val="0"/>
                          <w:marBottom w:val="0"/>
                          <w:divBdr>
                            <w:top w:val="none" w:sz="0" w:space="0" w:color="auto"/>
                            <w:left w:val="none" w:sz="0" w:space="0" w:color="auto"/>
                            <w:bottom w:val="none" w:sz="0" w:space="0" w:color="auto"/>
                            <w:right w:val="none" w:sz="0" w:space="0" w:color="auto"/>
                          </w:divBdr>
                        </w:div>
                        <w:div w:id="410976303">
                          <w:marLeft w:val="0"/>
                          <w:marRight w:val="0"/>
                          <w:marTop w:val="0"/>
                          <w:marBottom w:val="0"/>
                          <w:divBdr>
                            <w:top w:val="none" w:sz="0" w:space="0" w:color="auto"/>
                            <w:left w:val="none" w:sz="0" w:space="0" w:color="auto"/>
                            <w:bottom w:val="none" w:sz="0" w:space="0" w:color="auto"/>
                            <w:right w:val="none" w:sz="0" w:space="0" w:color="auto"/>
                          </w:divBdr>
                        </w:div>
                        <w:div w:id="565338840">
                          <w:marLeft w:val="0"/>
                          <w:marRight w:val="0"/>
                          <w:marTop w:val="0"/>
                          <w:marBottom w:val="0"/>
                          <w:divBdr>
                            <w:top w:val="none" w:sz="0" w:space="0" w:color="auto"/>
                            <w:left w:val="none" w:sz="0" w:space="0" w:color="auto"/>
                            <w:bottom w:val="none" w:sz="0" w:space="0" w:color="auto"/>
                            <w:right w:val="none" w:sz="0" w:space="0" w:color="auto"/>
                          </w:divBdr>
                        </w:div>
                        <w:div w:id="67241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91064">
          <w:marLeft w:val="75"/>
          <w:marRight w:val="75"/>
          <w:marTop w:val="0"/>
          <w:marBottom w:val="0"/>
          <w:divBdr>
            <w:top w:val="none" w:sz="0" w:space="0" w:color="auto"/>
            <w:left w:val="none" w:sz="0" w:space="0" w:color="auto"/>
            <w:bottom w:val="none" w:sz="0" w:space="0" w:color="auto"/>
            <w:right w:val="none" w:sz="0" w:space="0" w:color="auto"/>
          </w:divBdr>
          <w:divsChild>
            <w:div w:id="1256017362">
              <w:marLeft w:val="0"/>
              <w:marRight w:val="0"/>
              <w:marTop w:val="0"/>
              <w:marBottom w:val="0"/>
              <w:divBdr>
                <w:top w:val="none" w:sz="0" w:space="0" w:color="auto"/>
                <w:left w:val="none" w:sz="0" w:space="0" w:color="auto"/>
                <w:bottom w:val="none" w:sz="0" w:space="0" w:color="auto"/>
                <w:right w:val="none" w:sz="0" w:space="0" w:color="auto"/>
              </w:divBdr>
              <w:divsChild>
                <w:div w:id="98718461">
                  <w:marLeft w:val="0"/>
                  <w:marRight w:val="0"/>
                  <w:marTop w:val="0"/>
                  <w:marBottom w:val="0"/>
                  <w:divBdr>
                    <w:top w:val="none" w:sz="0" w:space="0" w:color="auto"/>
                    <w:left w:val="none" w:sz="0" w:space="0" w:color="auto"/>
                    <w:bottom w:val="none" w:sz="0" w:space="0" w:color="auto"/>
                    <w:right w:val="none" w:sz="0" w:space="0" w:color="auto"/>
                  </w:divBdr>
                  <w:divsChild>
                    <w:div w:id="1973510214">
                      <w:marLeft w:val="0"/>
                      <w:marRight w:val="0"/>
                      <w:marTop w:val="0"/>
                      <w:marBottom w:val="0"/>
                      <w:divBdr>
                        <w:top w:val="none" w:sz="0" w:space="0" w:color="auto"/>
                        <w:left w:val="none" w:sz="0" w:space="0" w:color="auto"/>
                        <w:bottom w:val="none" w:sz="0" w:space="0" w:color="auto"/>
                        <w:right w:val="none" w:sz="0" w:space="0" w:color="auto"/>
                      </w:divBdr>
                      <w:divsChild>
                        <w:div w:id="1488597692">
                          <w:marLeft w:val="0"/>
                          <w:marRight w:val="0"/>
                          <w:marTop w:val="0"/>
                          <w:marBottom w:val="0"/>
                          <w:divBdr>
                            <w:top w:val="none" w:sz="0" w:space="0" w:color="auto"/>
                            <w:left w:val="none" w:sz="0" w:space="0" w:color="auto"/>
                            <w:bottom w:val="none" w:sz="0" w:space="0" w:color="auto"/>
                            <w:right w:val="none" w:sz="0" w:space="0" w:color="auto"/>
                          </w:divBdr>
                        </w:div>
                        <w:div w:id="1731532364">
                          <w:marLeft w:val="0"/>
                          <w:marRight w:val="0"/>
                          <w:marTop w:val="0"/>
                          <w:marBottom w:val="0"/>
                          <w:divBdr>
                            <w:top w:val="none" w:sz="0" w:space="0" w:color="auto"/>
                            <w:left w:val="none" w:sz="0" w:space="0" w:color="auto"/>
                            <w:bottom w:val="none" w:sz="0" w:space="0" w:color="auto"/>
                            <w:right w:val="none" w:sz="0" w:space="0" w:color="auto"/>
                          </w:divBdr>
                        </w:div>
                        <w:div w:id="2108965197">
                          <w:marLeft w:val="0"/>
                          <w:marRight w:val="0"/>
                          <w:marTop w:val="0"/>
                          <w:marBottom w:val="0"/>
                          <w:divBdr>
                            <w:top w:val="none" w:sz="0" w:space="0" w:color="auto"/>
                            <w:left w:val="none" w:sz="0" w:space="0" w:color="auto"/>
                            <w:bottom w:val="none" w:sz="0" w:space="0" w:color="auto"/>
                            <w:right w:val="none" w:sz="0" w:space="0" w:color="auto"/>
                          </w:divBdr>
                        </w:div>
                        <w:div w:id="846410645">
                          <w:marLeft w:val="0"/>
                          <w:marRight w:val="0"/>
                          <w:marTop w:val="0"/>
                          <w:marBottom w:val="0"/>
                          <w:divBdr>
                            <w:top w:val="none" w:sz="0" w:space="0" w:color="auto"/>
                            <w:left w:val="none" w:sz="0" w:space="0" w:color="auto"/>
                            <w:bottom w:val="none" w:sz="0" w:space="0" w:color="auto"/>
                            <w:right w:val="none" w:sz="0" w:space="0" w:color="auto"/>
                          </w:divBdr>
                        </w:div>
                        <w:div w:id="7512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78503">
                  <w:marLeft w:val="0"/>
                  <w:marRight w:val="0"/>
                  <w:marTop w:val="0"/>
                  <w:marBottom w:val="0"/>
                  <w:divBdr>
                    <w:top w:val="none" w:sz="0" w:space="0" w:color="auto"/>
                    <w:left w:val="none" w:sz="0" w:space="0" w:color="auto"/>
                    <w:bottom w:val="none" w:sz="0" w:space="0" w:color="auto"/>
                    <w:right w:val="none" w:sz="0" w:space="0" w:color="auto"/>
                  </w:divBdr>
                </w:div>
                <w:div w:id="37440922">
                  <w:marLeft w:val="0"/>
                  <w:marRight w:val="0"/>
                  <w:marTop w:val="0"/>
                  <w:marBottom w:val="0"/>
                  <w:divBdr>
                    <w:top w:val="none" w:sz="0" w:space="0" w:color="auto"/>
                    <w:left w:val="none" w:sz="0" w:space="0" w:color="auto"/>
                    <w:bottom w:val="none" w:sz="0" w:space="0" w:color="auto"/>
                    <w:right w:val="none" w:sz="0" w:space="0" w:color="auto"/>
                  </w:divBdr>
                </w:div>
                <w:div w:id="974800063">
                  <w:marLeft w:val="0"/>
                  <w:marRight w:val="0"/>
                  <w:marTop w:val="0"/>
                  <w:marBottom w:val="0"/>
                  <w:divBdr>
                    <w:top w:val="none" w:sz="0" w:space="0" w:color="auto"/>
                    <w:left w:val="none" w:sz="0" w:space="0" w:color="auto"/>
                    <w:bottom w:val="none" w:sz="0" w:space="0" w:color="auto"/>
                    <w:right w:val="none" w:sz="0" w:space="0" w:color="auto"/>
                  </w:divBdr>
                </w:div>
                <w:div w:id="15816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853">
          <w:marLeft w:val="75"/>
          <w:marRight w:val="75"/>
          <w:marTop w:val="0"/>
          <w:marBottom w:val="0"/>
          <w:divBdr>
            <w:top w:val="none" w:sz="0" w:space="0" w:color="auto"/>
            <w:left w:val="none" w:sz="0" w:space="0" w:color="auto"/>
            <w:bottom w:val="none" w:sz="0" w:space="0" w:color="auto"/>
            <w:right w:val="none" w:sz="0" w:space="0" w:color="auto"/>
          </w:divBdr>
          <w:divsChild>
            <w:div w:id="1744986688">
              <w:marLeft w:val="0"/>
              <w:marRight w:val="0"/>
              <w:marTop w:val="0"/>
              <w:marBottom w:val="0"/>
              <w:divBdr>
                <w:top w:val="none" w:sz="0" w:space="0" w:color="auto"/>
                <w:left w:val="none" w:sz="0" w:space="0" w:color="auto"/>
                <w:bottom w:val="none" w:sz="0" w:space="0" w:color="auto"/>
                <w:right w:val="none" w:sz="0" w:space="0" w:color="auto"/>
              </w:divBdr>
            </w:div>
            <w:div w:id="1238517651">
              <w:marLeft w:val="0"/>
              <w:marRight w:val="0"/>
              <w:marTop w:val="0"/>
              <w:marBottom w:val="0"/>
              <w:divBdr>
                <w:top w:val="none" w:sz="0" w:space="0" w:color="auto"/>
                <w:left w:val="none" w:sz="0" w:space="0" w:color="auto"/>
                <w:bottom w:val="none" w:sz="0" w:space="0" w:color="auto"/>
                <w:right w:val="none" w:sz="0" w:space="0" w:color="auto"/>
              </w:divBdr>
              <w:divsChild>
                <w:div w:id="152393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4764">
          <w:marLeft w:val="75"/>
          <w:marRight w:val="75"/>
          <w:marTop w:val="0"/>
          <w:marBottom w:val="0"/>
          <w:divBdr>
            <w:top w:val="none" w:sz="0" w:space="0" w:color="auto"/>
            <w:left w:val="none" w:sz="0" w:space="0" w:color="auto"/>
            <w:bottom w:val="none" w:sz="0" w:space="0" w:color="auto"/>
            <w:right w:val="none" w:sz="0" w:space="0" w:color="auto"/>
          </w:divBdr>
          <w:divsChild>
            <w:div w:id="1326058219">
              <w:marLeft w:val="0"/>
              <w:marRight w:val="0"/>
              <w:marTop w:val="0"/>
              <w:marBottom w:val="0"/>
              <w:divBdr>
                <w:top w:val="none" w:sz="0" w:space="0" w:color="auto"/>
                <w:left w:val="none" w:sz="0" w:space="0" w:color="auto"/>
                <w:bottom w:val="none" w:sz="0" w:space="0" w:color="auto"/>
                <w:right w:val="none" w:sz="0" w:space="0" w:color="auto"/>
              </w:divBdr>
              <w:divsChild>
                <w:div w:id="681080552">
                  <w:marLeft w:val="0"/>
                  <w:marRight w:val="0"/>
                  <w:marTop w:val="0"/>
                  <w:marBottom w:val="0"/>
                  <w:divBdr>
                    <w:top w:val="none" w:sz="0" w:space="0" w:color="auto"/>
                    <w:left w:val="none" w:sz="0" w:space="0" w:color="auto"/>
                    <w:bottom w:val="none" w:sz="0" w:space="0" w:color="auto"/>
                    <w:right w:val="none" w:sz="0" w:space="0" w:color="auto"/>
                  </w:divBdr>
                  <w:divsChild>
                    <w:div w:id="1717703135">
                      <w:marLeft w:val="0"/>
                      <w:marRight w:val="0"/>
                      <w:marTop w:val="0"/>
                      <w:marBottom w:val="0"/>
                      <w:divBdr>
                        <w:top w:val="none" w:sz="0" w:space="0" w:color="auto"/>
                        <w:left w:val="none" w:sz="0" w:space="0" w:color="auto"/>
                        <w:bottom w:val="none" w:sz="0" w:space="0" w:color="auto"/>
                        <w:right w:val="none" w:sz="0" w:space="0" w:color="auto"/>
                      </w:divBdr>
                      <w:divsChild>
                        <w:div w:id="991181410">
                          <w:marLeft w:val="0"/>
                          <w:marRight w:val="0"/>
                          <w:marTop w:val="0"/>
                          <w:marBottom w:val="0"/>
                          <w:divBdr>
                            <w:top w:val="none" w:sz="0" w:space="0" w:color="auto"/>
                            <w:left w:val="none" w:sz="0" w:space="0" w:color="auto"/>
                            <w:bottom w:val="none" w:sz="0" w:space="0" w:color="auto"/>
                            <w:right w:val="none" w:sz="0" w:space="0" w:color="auto"/>
                          </w:divBdr>
                        </w:div>
                        <w:div w:id="1302879071">
                          <w:marLeft w:val="0"/>
                          <w:marRight w:val="0"/>
                          <w:marTop w:val="0"/>
                          <w:marBottom w:val="0"/>
                          <w:divBdr>
                            <w:top w:val="none" w:sz="0" w:space="0" w:color="auto"/>
                            <w:left w:val="none" w:sz="0" w:space="0" w:color="auto"/>
                            <w:bottom w:val="none" w:sz="0" w:space="0" w:color="auto"/>
                            <w:right w:val="none" w:sz="0" w:space="0" w:color="auto"/>
                          </w:divBdr>
                        </w:div>
                        <w:div w:id="18983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06148">
          <w:marLeft w:val="75"/>
          <w:marRight w:val="75"/>
          <w:marTop w:val="0"/>
          <w:marBottom w:val="0"/>
          <w:divBdr>
            <w:top w:val="none" w:sz="0" w:space="0" w:color="auto"/>
            <w:left w:val="none" w:sz="0" w:space="0" w:color="auto"/>
            <w:bottom w:val="none" w:sz="0" w:space="0" w:color="auto"/>
            <w:right w:val="none" w:sz="0" w:space="0" w:color="auto"/>
          </w:divBdr>
          <w:divsChild>
            <w:div w:id="1499614384">
              <w:marLeft w:val="0"/>
              <w:marRight w:val="0"/>
              <w:marTop w:val="0"/>
              <w:marBottom w:val="0"/>
              <w:divBdr>
                <w:top w:val="none" w:sz="0" w:space="0" w:color="auto"/>
                <w:left w:val="none" w:sz="0" w:space="0" w:color="auto"/>
                <w:bottom w:val="none" w:sz="0" w:space="0" w:color="auto"/>
                <w:right w:val="none" w:sz="0" w:space="0" w:color="auto"/>
              </w:divBdr>
              <w:divsChild>
                <w:div w:id="43551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ormattiva.it/uri-res/N2Ls?urn:nir:stato:legge:1988-08-23;400~art17-com1" TargetMode="External"/><Relationship Id="rId21" Type="http://schemas.openxmlformats.org/officeDocument/2006/relationships/hyperlink" Target="https://www.normattiva.it/uri-res/N2Ls?urn:nir:stato:legge:2009-12-31;196~art17-com2" TargetMode="External"/><Relationship Id="rId42" Type="http://schemas.openxmlformats.org/officeDocument/2006/relationships/hyperlink" Target="https://www.normattiva.it/uri-res/N2Ls?urn:nir:stato:legge:2015-07-13;107~art1-com7-letl" TargetMode="External"/><Relationship Id="rId47" Type="http://schemas.openxmlformats.org/officeDocument/2006/relationships/hyperlink" Target="https://www.normattiva.it/uri-res/N2Ls?urn:nir:stato:codice.penale:1930-10-19;1398~art594" TargetMode="External"/><Relationship Id="rId63" Type="http://schemas.openxmlformats.org/officeDocument/2006/relationships/hyperlink" Target="https://www.normattiva.it/uri-res/N2Ls?urn:nir:stato:legge:2021-11-26;206" TargetMode="External"/><Relationship Id="rId68" Type="http://schemas.openxmlformats.org/officeDocument/2006/relationships/hyperlink" Target="https://www.normattiva.it/uri-res/N2Ls?urn:nir:stato:regio.decreto:1941-01-30;12" TargetMode="External"/><Relationship Id="rId84" Type="http://schemas.openxmlformats.org/officeDocument/2006/relationships/hyperlink" Target="https://www.normattiva.it/uri-res/N2Ls?urn:nir:stato:legge:1949-05-27;260" TargetMode="External"/><Relationship Id="rId89" Type="http://schemas.openxmlformats.org/officeDocument/2006/relationships/hyperlink" Target="https://www.normattiva.it/uri-res/N2Ls?urn:nir:presidente.repubblica:decreto:1998-06-24;249~art5bis" TargetMode="External"/><Relationship Id="rId16" Type="http://schemas.openxmlformats.org/officeDocument/2006/relationships/hyperlink" Target="https://www.normattiva.it/uri-res/N2Ls?urn:nir:stato:decreto.legislativo:2003-08-01;259~art98quaterdecies" TargetMode="External"/><Relationship Id="rId11" Type="http://schemas.openxmlformats.org/officeDocument/2006/relationships/hyperlink" Target="https://www.normattiva.it/uri-res/N2Ls?urn:nir:stato:legge:1935-05-27;835" TargetMode="External"/><Relationship Id="rId32" Type="http://schemas.openxmlformats.org/officeDocument/2006/relationships/hyperlink" Target="https://www.normattiva.it/uri-res/N2Ls?urn:nir:stato:legge:2017-05-29;71~art3" TargetMode="External"/><Relationship Id="rId37" Type="http://schemas.openxmlformats.org/officeDocument/2006/relationships/hyperlink" Target="https://www.normattiva.it/uri-res/N2Ls?urn:nir:stato:decreto.legislativo:2003-04-09;70~art15" TargetMode="External"/><Relationship Id="rId53" Type="http://schemas.openxmlformats.org/officeDocument/2006/relationships/hyperlink" Target="https://www.normattiva.it/uri-res/N2Ls?urn:nir:stato:decreto.legge:2009-02-23;11~art8-com1" TargetMode="External"/><Relationship Id="rId58" Type="http://schemas.openxmlformats.org/officeDocument/2006/relationships/hyperlink" Target="https://www.normattiva.it/uri-res/N2Ls?urn:nir:stato:regio.decreto.legge:1934-07-20;1404~art28" TargetMode="External"/><Relationship Id="rId74" Type="http://schemas.openxmlformats.org/officeDocument/2006/relationships/hyperlink" Target="https://www.normattiva.it/uri-res/N2Ls?urn:nir:stato:decreto.legislativo:2005-09-06;206~art45-com1-letl" TargetMode="External"/><Relationship Id="rId79" Type="http://schemas.openxmlformats.org/officeDocument/2006/relationships/hyperlink" Target="http://eur-lex.europa.eu/legal-content/IT/TXT/?uri=CELEX:32022R2065" TargetMode="External"/><Relationship Id="rId5" Type="http://schemas.openxmlformats.org/officeDocument/2006/relationships/hyperlink" Target="https://www.normattiva.it/uri-res/N2Ls?urn:nir:stato:legge:2017-05-29;1" TargetMode="External"/><Relationship Id="rId90" Type="http://schemas.openxmlformats.org/officeDocument/2006/relationships/fontTable" Target="fontTable.xml"/><Relationship Id="rId14" Type="http://schemas.openxmlformats.org/officeDocument/2006/relationships/hyperlink" Target="https://www.normattiva.it/uri-res/N2Ls?urn:nir:stato:codice.procedura.civile:1940-10-28;1443" TargetMode="External"/><Relationship Id="rId22" Type="http://schemas.openxmlformats.org/officeDocument/2006/relationships/hyperlink" Target="https://www.normattiva.it/uri-res/N2Ls?urn:nir:stato:legge:1977-03-05;54~art2" TargetMode="External"/><Relationship Id="rId27" Type="http://schemas.openxmlformats.org/officeDocument/2006/relationships/hyperlink" Target="https://www.normattiva.it/uri-res/N2Ls?urn:nir:presidente.repubblica:decreto:1998-06-24;249" TargetMode="External"/><Relationship Id="rId30" Type="http://schemas.openxmlformats.org/officeDocument/2006/relationships/hyperlink" Target="https://www.normattiva.it/uri-res/N2Ls?urn:nir:presidente.repubblica:decreto:1985-12-28;1092" TargetMode="External"/><Relationship Id="rId35" Type="http://schemas.openxmlformats.org/officeDocument/2006/relationships/hyperlink" Target="https://www.normattiva.it/uri-res/N2Ls?urn:nir:stato:legge:2017-05-29;71~art7" TargetMode="External"/><Relationship Id="rId43" Type="http://schemas.openxmlformats.org/officeDocument/2006/relationships/hyperlink" Target="https://www.normattiva.it/uri-res/N2Ls?urn:nir:stato:legge:2015-07-13;107~art1-com7-leth" TargetMode="External"/><Relationship Id="rId48" Type="http://schemas.openxmlformats.org/officeDocument/2006/relationships/hyperlink" Target="https://www.normattiva.it/uri-res/N2Ls?urn:nir:stato:codice.penale:1930-10-19;1398~art595" TargetMode="External"/><Relationship Id="rId56" Type="http://schemas.openxmlformats.org/officeDocument/2006/relationships/hyperlink" Target="https://www.normattiva.it/uri-res/N2Ls?urn:nir:stato:regio.decreto.legge:1934-07-20;1404~art26" TargetMode="External"/><Relationship Id="rId64" Type="http://schemas.openxmlformats.org/officeDocument/2006/relationships/hyperlink" Target="https://www.normattiva.it/uri-res/N2Ls?urn:nir:stato:regio.decreto.legge:1934-07-20;1404" TargetMode="External"/><Relationship Id="rId69" Type="http://schemas.openxmlformats.org/officeDocument/2006/relationships/hyperlink" Target="https://www.normattiva.it/uri-res/N2Ls?urn:nir:stato:decreto.legislativo:2003-08-01;259~art98quaterdecies" TargetMode="External"/><Relationship Id="rId77" Type="http://schemas.openxmlformats.org/officeDocument/2006/relationships/hyperlink" Target="https://www.normattiva.it/uri-res/N2Ls?urn:nir:stato:decreto.legge:2007-01-31;7~art1" TargetMode="External"/><Relationship Id="rId8" Type="http://schemas.openxmlformats.org/officeDocument/2006/relationships/hyperlink" Target="https://www.normattiva.it/uri-res/N2Ls?urn:nir:stato:regio.decreto.legge:1934-07-20;1404~art25" TargetMode="External"/><Relationship Id="rId51" Type="http://schemas.openxmlformats.org/officeDocument/2006/relationships/hyperlink" Target="https://www.normattiva.it/uri-res/N2Ls?urn:nir:stato:decreto.legislativo:2003-06-30;196~art167" TargetMode="External"/><Relationship Id="rId72" Type="http://schemas.openxmlformats.org/officeDocument/2006/relationships/hyperlink" Target="https://www.normattiva.it/uri-res/N2Ls?urn:nir:stato:decreto.legislativo:2005-09-06;206~art48" TargetMode="External"/><Relationship Id="rId80" Type="http://schemas.openxmlformats.org/officeDocument/2006/relationships/hyperlink" Target="http://eur-lex.europa.eu/legal-content/IT/TXT/?uri=CELEX:32000L0031" TargetMode="External"/><Relationship Id="rId85" Type="http://schemas.openxmlformats.org/officeDocument/2006/relationships/hyperlink" Target="https://www.normattiva.it/uri-res/N2Ls?urn:nir:stato:legge:1958-03-04;132" TargetMode="External"/><Relationship Id="rId3" Type="http://schemas.openxmlformats.org/officeDocument/2006/relationships/webSettings" Target="webSettings.xml"/><Relationship Id="rId12" Type="http://schemas.openxmlformats.org/officeDocument/2006/relationships/hyperlink" Target="https://www.normattiva.it/uri-res/N2Ls?urn:nir:stato:regio.decreto.legge:1934-07-20;1404" TargetMode="External"/><Relationship Id="rId17" Type="http://schemas.openxmlformats.org/officeDocument/2006/relationships/hyperlink" Target="https://www.normattiva.it/uri-res/N2Ls?urn:nir:stato:decreto.legislativo:2003-08-01;259~art98septdecies" TargetMode="External"/><Relationship Id="rId25" Type="http://schemas.openxmlformats.org/officeDocument/2006/relationships/hyperlink" Target="https://www.normattiva.it/uri-res/N2Ls?urn:nir:presidente.repubblica::1998-06-24;1" TargetMode="External"/><Relationship Id="rId33" Type="http://schemas.openxmlformats.org/officeDocument/2006/relationships/hyperlink" Target="https://www.normattiva.it/uri-res/N2Ls?urn:nir:stato:legge:2017-05-29;71~art4" TargetMode="External"/><Relationship Id="rId38" Type="http://schemas.openxmlformats.org/officeDocument/2006/relationships/hyperlink" Target="https://www.normattiva.it/uri-res/N2Ls?urn:nir:stato:decreto.legislativo:2003-04-09;70~art16" TargetMode="External"/><Relationship Id="rId46" Type="http://schemas.openxmlformats.org/officeDocument/2006/relationships/hyperlink" Target="https://www.normattiva.it/uri-res/N2Ls?urn:nir:presidente.repubblica:decreto:1998-06-24;249" TargetMode="External"/><Relationship Id="rId59" Type="http://schemas.openxmlformats.org/officeDocument/2006/relationships/hyperlink" Target="https://www.normattiva.it/uri-res/N2Ls?urn:nir:stato:regio.decreto.legge:1934-07-20;1404~art29" TargetMode="External"/><Relationship Id="rId67" Type="http://schemas.openxmlformats.org/officeDocument/2006/relationships/hyperlink" Target="https://www.normattiva.it/uri-res/N2Ls?urn:nir:stato:legge:1935-05-27;835" TargetMode="External"/><Relationship Id="rId20" Type="http://schemas.openxmlformats.org/officeDocument/2006/relationships/hyperlink" Target="http://eur-lex.europa.eu/legal-content/IT/TXT/?uri=CELEX:32022R2065" TargetMode="External"/><Relationship Id="rId41" Type="http://schemas.openxmlformats.org/officeDocument/2006/relationships/hyperlink" Target="https://www.normattiva.it/uri-res/N2Ls?urn:nir:stato:legge:2019-08-20;92~art5-com3" TargetMode="External"/><Relationship Id="rId54" Type="http://schemas.openxmlformats.org/officeDocument/2006/relationships/hyperlink" Target="https://www.normattiva.it/uri-res/N2Ls?urn:nir:stato:decreto.legge:2009-02-23;11~art8-com2" TargetMode="External"/><Relationship Id="rId62" Type="http://schemas.openxmlformats.org/officeDocument/2006/relationships/hyperlink" Target="https://www.normattiva.it/uri-res/N2Ls?urn:nir:stato:decreto.legislativo:2022-10-10;149~art31" TargetMode="External"/><Relationship Id="rId70" Type="http://schemas.openxmlformats.org/officeDocument/2006/relationships/hyperlink" Target="https://www.normattiva.it/uri-res/N2Ls?urn:nir:stato:decreto.legislativo:2003-08-01;259~art98septdecies" TargetMode="External"/><Relationship Id="rId75" Type="http://schemas.openxmlformats.org/officeDocument/2006/relationships/hyperlink" Target="https://www.normattiva.it/uri-res/N2Ls?urn:nir::regolamento:2015;2120~art4-par1-letd" TargetMode="External"/><Relationship Id="rId83" Type="http://schemas.openxmlformats.org/officeDocument/2006/relationships/hyperlink" Target="https://www.normattiva.it/uri-res/N2Ls?urn:nir:stato:legge:1977-03-05;54~art3" TargetMode="External"/><Relationship Id="rId88" Type="http://schemas.openxmlformats.org/officeDocument/2006/relationships/hyperlink" Target="https://www.normattiva.it/uri-res/N2Ls?urn:nir:presidente.repubblica:decreto:1998-06-24;249~art3"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normattiva.it/uri-res/N2Ls?urn:nir:stato:legge:2017-05-29;71" TargetMode="External"/><Relationship Id="rId15" Type="http://schemas.openxmlformats.org/officeDocument/2006/relationships/hyperlink" Target="https://www.normattiva.it/uri-res/N2Ls?urn:nir:stato:decreto.legislativo:2022-10-10;149~art31-com1-letf" TargetMode="External"/><Relationship Id="rId23" Type="http://schemas.openxmlformats.org/officeDocument/2006/relationships/hyperlink" Target="https://www.normattiva.it/uri-res/N2Ls?urn:nir:stato:legge:1977-03-05;54~art3" TargetMode="External"/><Relationship Id="rId28" Type="http://schemas.openxmlformats.org/officeDocument/2006/relationships/hyperlink" Target="https://www.normattiva.it/uri-res/N2Ls?urn:nir:presidente.repubblica:decreto:1998;249" TargetMode="External"/><Relationship Id="rId36" Type="http://schemas.openxmlformats.org/officeDocument/2006/relationships/hyperlink" Target="https://www.normattiva.it/uri-res/N2Ls?urn:nir:stato:decreto.legislativo:2003-04-09;70~art14" TargetMode="External"/><Relationship Id="rId49" Type="http://schemas.openxmlformats.org/officeDocument/2006/relationships/hyperlink" Target="https://www.normattiva.it/uri-res/N2Ls?urn:nir:stato:codice.penale:1930-10-19;1398~art612" TargetMode="External"/><Relationship Id="rId57" Type="http://schemas.openxmlformats.org/officeDocument/2006/relationships/hyperlink" Target="https://www.normattiva.it/uri-res/N2Ls?urn:nir:stato:regio.decreto.legge:1934-07-20;1404~art27" TargetMode="External"/><Relationship Id="rId10" Type="http://schemas.openxmlformats.org/officeDocument/2006/relationships/hyperlink" Target="https://www.normattiva.it/uri-res/N2Ls?urn:nir:stato:regio.decreto.legge:1934-07-20;1404" TargetMode="External"/><Relationship Id="rId31" Type="http://schemas.openxmlformats.org/officeDocument/2006/relationships/hyperlink" Target="https://www.normattiva.it/uri-res/N2Ls?urn:nir:stato:legge:2017-05-29;71~art1" TargetMode="External"/><Relationship Id="rId44" Type="http://schemas.openxmlformats.org/officeDocument/2006/relationships/hyperlink" Target="https://www.normattiva.it/uri-res/N2Ls?urn:nir:stato:regio.decreto.legge:1934-07-20;1404~art25" TargetMode="External"/><Relationship Id="rId52" Type="http://schemas.openxmlformats.org/officeDocument/2006/relationships/hyperlink" Target="https://www.normattiva.it/uri-res/N2Ls?urn:nir:stato:decreto.legislativo:2003-06-30;196" TargetMode="External"/><Relationship Id="rId60" Type="http://schemas.openxmlformats.org/officeDocument/2006/relationships/hyperlink" Target="https://www.normattiva.it/uri-res/N2Ls?urn:nir:stato:legge:1935-05-27;835" TargetMode="External"/><Relationship Id="rId65" Type="http://schemas.openxmlformats.org/officeDocument/2006/relationships/hyperlink" Target="https://www.normattiva.it/uri-res/N2Ls?urn:nir:stato:legge:1935-05-27;835" TargetMode="External"/><Relationship Id="rId73" Type="http://schemas.openxmlformats.org/officeDocument/2006/relationships/hyperlink" Target="https://www.normattiva.it/uri-res/N2Ls?urn:nir:stato:decreto.legislativo:2005-09-06;206~art49" TargetMode="External"/><Relationship Id="rId78" Type="http://schemas.openxmlformats.org/officeDocument/2006/relationships/hyperlink" Target="https://www.normattiva.it/uri-res/N2Ls?urn:nir:stato:legge:2007-04-02;40" TargetMode="External"/><Relationship Id="rId81" Type="http://schemas.openxmlformats.org/officeDocument/2006/relationships/hyperlink" Target="https://www.normattiva.it/uri-res/N2Ls?urn:nir:stato:legge:2009-12-31;196~art17-com2" TargetMode="External"/><Relationship Id="rId86" Type="http://schemas.openxmlformats.org/officeDocument/2006/relationships/hyperlink" Target="https://www.normattiva.it/uri-res/N2Ls?urn:nir:stato:legge:1988-08-23;400~art17-com1" TargetMode="External"/><Relationship Id="rId4" Type="http://schemas.openxmlformats.org/officeDocument/2006/relationships/hyperlink" Target="https://www.normattiva.it/uri-res/N2Ls?urn:nir:stato:legge:2017-05-29;1" TargetMode="External"/><Relationship Id="rId9" Type="http://schemas.openxmlformats.org/officeDocument/2006/relationships/hyperlink" Target="https://www.normattiva.it/uri-res/N2Ls?urn:nir:stato:legge:1935-05-27;835" TargetMode="External"/><Relationship Id="rId13" Type="http://schemas.openxmlformats.org/officeDocument/2006/relationships/hyperlink" Target="https://www.normattiva.it/uri-res/N2Ls?urn:nir:stato:legge:1935-05-27;835" TargetMode="External"/><Relationship Id="rId18" Type="http://schemas.openxmlformats.org/officeDocument/2006/relationships/hyperlink" Target="https://www.normattiva.it/uri-res/N2Ls?urn:nir:stato:decreto.legislativo:2003-08-01;259" TargetMode="External"/><Relationship Id="rId39" Type="http://schemas.openxmlformats.org/officeDocument/2006/relationships/hyperlink" Target="https://www.normattiva.it/uri-res/N2Ls?urn:nir:stato:decreto.legislativo:1997-08-28;281~art8" TargetMode="External"/><Relationship Id="rId34" Type="http://schemas.openxmlformats.org/officeDocument/2006/relationships/hyperlink" Target="https://www.normattiva.it/uri-res/N2Ls?urn:nir:stato:legge:2017-05-29;71~art5" TargetMode="External"/><Relationship Id="rId50" Type="http://schemas.openxmlformats.org/officeDocument/2006/relationships/hyperlink" Target="https://www.normattiva.it/uri-res/N2Ls?urn:nir:stato:codice.penale:1930-10-19;1398~art612ter" TargetMode="External"/><Relationship Id="rId55" Type="http://schemas.openxmlformats.org/officeDocument/2006/relationships/hyperlink" Target="https://www.normattiva.it/uri-res/N2Ls?urn:nir:stato:legge:2009-04-23;38" TargetMode="External"/><Relationship Id="rId76" Type="http://schemas.openxmlformats.org/officeDocument/2006/relationships/hyperlink" Target="https://www.normattiva.it/uri-res/N2Ls?urn:nir::regolamento:2015;2120~art4-par1-lete" TargetMode="External"/><Relationship Id="rId7" Type="http://schemas.openxmlformats.org/officeDocument/2006/relationships/hyperlink" Target="https://www.normattiva.it/uri-res/N2Ls?urn:nir:stato:legge:2019-08-20;92~art5-com3" TargetMode="External"/><Relationship Id="rId71" Type="http://schemas.openxmlformats.org/officeDocument/2006/relationships/hyperlink" Target="https://www.normattiva.it/uri-res/N2Ls?urn:nir:stato:decreto.legislativo:2003-08-01;259" TargetMode="External"/><Relationship Id="rId2" Type="http://schemas.openxmlformats.org/officeDocument/2006/relationships/settings" Target="settings.xml"/><Relationship Id="rId29" Type="http://schemas.openxmlformats.org/officeDocument/2006/relationships/hyperlink" Target="https://www.normattiva.it/uri-res/N2Ls?urn:nir:presidente.repubblica:decreto:1998;249" TargetMode="External"/><Relationship Id="rId24" Type="http://schemas.openxmlformats.org/officeDocument/2006/relationships/hyperlink" Target="https://www.normattiva.it/uri-res/N2Ls?urn:nir:presidente.repubblica::1998-06-24;249" TargetMode="External"/><Relationship Id="rId40" Type="http://schemas.openxmlformats.org/officeDocument/2006/relationships/hyperlink" Target="http://eur-lex.europa.eu/legal-content/IT/TXT/?uri=CELEX:32008D1351" TargetMode="External"/><Relationship Id="rId45" Type="http://schemas.openxmlformats.org/officeDocument/2006/relationships/hyperlink" Target="https://www.normattiva.it/uri-res/N2Ls?urn:nir:stato:legge:1935-05-27;835" TargetMode="External"/><Relationship Id="rId66" Type="http://schemas.openxmlformats.org/officeDocument/2006/relationships/hyperlink" Target="https://www.normattiva.it/uri-res/N2Ls?urn:nir:stato:regio.decreto.legge:1934-07-20;1404" TargetMode="External"/><Relationship Id="rId87" Type="http://schemas.openxmlformats.org/officeDocument/2006/relationships/hyperlink" Target="https://www.normattiva.it/uri-res/N2Ls?urn:nir:presidente.repubblica:decreto:1998-06-24;249~art2" TargetMode="External"/><Relationship Id="rId61" Type="http://schemas.openxmlformats.org/officeDocument/2006/relationships/hyperlink" Target="https://www.normattiva.it/uri-res/N2Ls?urn:nir:stato:codice.civile:1942-03-16;262~art333" TargetMode="External"/><Relationship Id="rId82" Type="http://schemas.openxmlformats.org/officeDocument/2006/relationships/hyperlink" Target="https://www.normattiva.it/uri-res/N2Ls?urn:nir:stato:legge:1977-03-05;54~art2" TargetMode="External"/><Relationship Id="rId19" Type="http://schemas.openxmlformats.org/officeDocument/2006/relationships/hyperlink" Target="https://www.normattiva.it/uri-res/N2Ls?urn:nir:stato:codice.civile:1942-03-16;262~art204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11761</Words>
  <Characters>67041</Characters>
  <Application>Microsoft Office Word</Application>
  <DocSecurity>0</DocSecurity>
  <Lines>558</Lines>
  <Paragraphs>157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2024-09-07T06:53:00Z</dcterms:created>
  <dcterms:modified xsi:type="dcterms:W3CDTF">2024-09-07T07:16:00Z</dcterms:modified>
</cp:coreProperties>
</file>